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DC415">
      <w:pPr>
        <w:jc w:val="center"/>
        <w:rPr>
          <w:rFonts w:hint="eastAsia" w:ascii="方正小标宋简体" w:hAnsi="方正小标宋简体" w:eastAsia="方正小标宋简体" w:cs="方正小标宋简体"/>
          <w:sz w:val="44"/>
          <w:szCs w:val="52"/>
        </w:rPr>
      </w:pPr>
    </w:p>
    <w:p w14:paraId="3CB341E7">
      <w:pPr>
        <w:jc w:val="center"/>
        <w:rPr>
          <w:rFonts w:hint="eastAsia" w:ascii="方正小标宋简体" w:hAnsi="方正小标宋简体" w:eastAsia="方正小标宋简体" w:cs="方正小标宋简体"/>
          <w:sz w:val="44"/>
          <w:szCs w:val="52"/>
        </w:rPr>
      </w:pPr>
    </w:p>
    <w:p w14:paraId="762CDB09">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苏州好博医疗器械股份有限公司</w:t>
      </w:r>
      <w:bookmarkStart w:id="0" w:name="_Toc224765126"/>
      <w:bookmarkStart w:id="1" w:name="heading_61"/>
    </w:p>
    <w:p w14:paraId="11D5F704">
      <w:pPr>
        <w:jc w:val="cente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PLM研发管理系统技术方案</w:t>
      </w:r>
      <w:bookmarkEnd w:id="0"/>
      <w:bookmarkEnd w:id="1"/>
    </w:p>
    <w:p w14:paraId="171F0E02"/>
    <w:p w14:paraId="29BF3503"/>
    <w:p w14:paraId="5EB9A375"/>
    <w:p w14:paraId="45599CCD"/>
    <w:p w14:paraId="331A51CA"/>
    <w:p w14:paraId="4055CA36"/>
    <w:p w14:paraId="6C6375EF"/>
    <w:p w14:paraId="0634AD5E"/>
    <w:p w14:paraId="5AEF15CC"/>
    <w:p w14:paraId="3FDBE06C"/>
    <w:p w14:paraId="55BF481D"/>
    <w:p w14:paraId="41D2EAE7"/>
    <w:p w14:paraId="2E9FE723">
      <w:pPr>
        <w:jc w:val="center"/>
        <w:rPr>
          <w:rFonts w:hint="eastAsia" w:ascii="方正小标宋简体" w:hAnsi="方正小标宋简体" w:eastAsia="方正小标宋简体" w:cs="方正小标宋简体"/>
          <w:sz w:val="44"/>
          <w:szCs w:val="52"/>
        </w:rPr>
      </w:pPr>
    </w:p>
    <w:p w14:paraId="0CE2ECD1">
      <w:pPr>
        <w:jc w:val="center"/>
        <w:rPr>
          <w:rFonts w:hint="default"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2026年4月</w:t>
      </w:r>
    </w:p>
    <w:p w14:paraId="1EC9C213"/>
    <w:p w14:paraId="5D4859C1"/>
    <w:p w14:paraId="6202BDB1"/>
    <w:p w14:paraId="6DAE5637"/>
    <w:p w14:paraId="5D0F0B5F"/>
    <w:p w14:paraId="6592228E"/>
    <w:p w14:paraId="1EDAD352"/>
    <w:p w14:paraId="02D409C6"/>
    <w:p w14:paraId="21FC6CF3"/>
    <w:p w14:paraId="247CD025"/>
    <w:sdt>
      <w:sdtPr>
        <w:rPr>
          <w:rFonts w:ascii="宋体" w:hAnsi="宋体" w:eastAsia="宋体" w:cstheme="minorBidi"/>
          <w:kern w:val="2"/>
          <w:sz w:val="21"/>
          <w:szCs w:val="24"/>
          <w:lang w:val="en-US" w:eastAsia="zh-CN" w:bidi="ar-SA"/>
        </w:rPr>
        <w:id w:val="147456432"/>
        <w15:color w:val="DBDBDB"/>
        <w:docPartObj>
          <w:docPartGallery w:val="Table of Contents"/>
          <w:docPartUnique/>
        </w:docPartObj>
      </w:sdtPr>
      <w:sdtEndPr>
        <w:rPr>
          <w:rFonts w:hint="eastAsia" w:ascii="宋体" w:hAnsi="宋体" w:eastAsia="宋体" w:cstheme="minorBidi"/>
          <w:kern w:val="2"/>
          <w:sz w:val="21"/>
          <w:szCs w:val="24"/>
          <w:lang w:val="en-US" w:eastAsia="zh-CN" w:bidi="ar-SA"/>
        </w:rPr>
      </w:sdtEndPr>
      <w:sdtContent>
        <w:p w14:paraId="10DD21D2">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FC26EB7">
          <w:pPr>
            <w:pStyle w:val="4"/>
            <w:tabs>
              <w:tab w:val="right" w:leader="dot" w:pos="8845"/>
            </w:tabs>
          </w:pPr>
          <w:r>
            <w:rPr>
              <w:rFonts w:hint="eastAsia" w:ascii="宋体" w:hAnsi="宋体" w:eastAsia="宋体" w:cstheme="minorBidi"/>
              <w:kern w:val="2"/>
              <w:sz w:val="21"/>
              <w:szCs w:val="24"/>
              <w:lang w:val="en-US" w:eastAsia="zh-CN" w:bidi="ar-SA"/>
            </w:rPr>
            <w:fldChar w:fldCharType="begin"/>
          </w:r>
          <w:r>
            <w:rPr>
              <w:rFonts w:hint="eastAsia" w:ascii="宋体" w:hAnsi="宋体" w:eastAsia="宋体" w:cstheme="minorBidi"/>
              <w:kern w:val="2"/>
              <w:sz w:val="21"/>
              <w:szCs w:val="24"/>
              <w:lang w:val="en-US" w:eastAsia="zh-CN" w:bidi="ar-SA"/>
            </w:rPr>
            <w:instrText xml:space="preserve">TOC \o "1-9" \h \u </w:instrText>
          </w:r>
          <w:r>
            <w:rPr>
              <w:rFonts w:hint="eastAsia" w:ascii="宋体" w:hAnsi="宋体" w:eastAsia="宋体" w:cstheme="minorBidi"/>
              <w:kern w:val="2"/>
              <w:sz w:val="21"/>
              <w:szCs w:val="24"/>
              <w:lang w:val="en-US" w:eastAsia="zh-CN" w:bidi="ar-SA"/>
            </w:rPr>
            <w:fldChar w:fldCharType="separate"/>
          </w: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_Toc17931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rPr>
            <w:t>一、项目简述</w:t>
          </w:r>
          <w:r>
            <w:tab/>
          </w:r>
          <w:r>
            <w:fldChar w:fldCharType="begin"/>
          </w:r>
          <w:r>
            <w:instrText xml:space="preserve"> PAGEREF _Toc17931 \h </w:instrText>
          </w:r>
          <w:r>
            <w:fldChar w:fldCharType="separate"/>
          </w:r>
          <w:r>
            <w:t>- 3 -</w:t>
          </w:r>
          <w:r>
            <w:fldChar w:fldCharType="end"/>
          </w:r>
          <w:r>
            <w:rPr>
              <w:rFonts w:hint="eastAsia" w:ascii="宋体" w:hAnsi="宋体" w:eastAsia="宋体" w:cstheme="minorBidi"/>
              <w:kern w:val="2"/>
              <w:szCs w:val="24"/>
              <w:lang w:val="en-US" w:eastAsia="zh-CN" w:bidi="ar-SA"/>
            </w:rPr>
            <w:fldChar w:fldCharType="end"/>
          </w:r>
        </w:p>
        <w:p w14:paraId="7ABB5648">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_Toc12590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（一）企业概况</w:t>
          </w:r>
          <w:r>
            <w:tab/>
          </w:r>
          <w:r>
            <w:fldChar w:fldCharType="begin"/>
          </w:r>
          <w:r>
            <w:instrText xml:space="preserve"> PAGEREF _Toc12590 \h </w:instrText>
          </w:r>
          <w:r>
            <w:fldChar w:fldCharType="separate"/>
          </w:r>
          <w:r>
            <w:t>- 3 -</w:t>
          </w:r>
          <w:r>
            <w:fldChar w:fldCharType="end"/>
          </w:r>
          <w:r>
            <w:rPr>
              <w:rFonts w:hint="eastAsia" w:ascii="宋体" w:hAnsi="宋体" w:eastAsia="宋体" w:cstheme="minorBidi"/>
              <w:kern w:val="2"/>
              <w:szCs w:val="24"/>
              <w:lang w:val="en-US" w:eastAsia="zh-CN" w:bidi="ar-SA"/>
            </w:rPr>
            <w:fldChar w:fldCharType="end"/>
          </w:r>
        </w:p>
        <w:p w14:paraId="741AB83F">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_Toc2610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（二）项目背景</w:t>
          </w:r>
          <w:r>
            <w:tab/>
          </w:r>
          <w:r>
            <w:fldChar w:fldCharType="begin"/>
          </w:r>
          <w:r>
            <w:instrText xml:space="preserve"> PAGEREF _Toc2610 \h </w:instrText>
          </w:r>
          <w:r>
            <w:fldChar w:fldCharType="separate"/>
          </w:r>
          <w:r>
            <w:t>- 4 -</w:t>
          </w:r>
          <w:r>
            <w:fldChar w:fldCharType="end"/>
          </w:r>
          <w:r>
            <w:rPr>
              <w:rFonts w:hint="eastAsia" w:ascii="宋体" w:hAnsi="宋体" w:eastAsia="宋体" w:cstheme="minorBidi"/>
              <w:kern w:val="2"/>
              <w:szCs w:val="24"/>
              <w:lang w:val="en-US" w:eastAsia="zh-CN" w:bidi="ar-SA"/>
            </w:rPr>
            <w:fldChar w:fldCharType="end"/>
          </w:r>
        </w:p>
        <w:p w14:paraId="2B5DF215">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_Toc30605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（三）建设思路</w:t>
          </w:r>
          <w:r>
            <w:tab/>
          </w:r>
          <w:r>
            <w:fldChar w:fldCharType="begin"/>
          </w:r>
          <w:r>
            <w:instrText xml:space="preserve"> PAGEREF _Toc30605 \h </w:instrText>
          </w:r>
          <w:r>
            <w:fldChar w:fldCharType="separate"/>
          </w:r>
          <w:r>
            <w:t>- 5 -</w:t>
          </w:r>
          <w:r>
            <w:fldChar w:fldCharType="end"/>
          </w:r>
          <w:r>
            <w:rPr>
              <w:rFonts w:hint="eastAsia" w:ascii="宋体" w:hAnsi="宋体" w:eastAsia="宋体" w:cstheme="minorBidi"/>
              <w:kern w:val="2"/>
              <w:szCs w:val="24"/>
              <w:lang w:val="en-US" w:eastAsia="zh-CN" w:bidi="ar-SA"/>
            </w:rPr>
            <w:fldChar w:fldCharType="end"/>
          </w:r>
        </w:p>
        <w:p w14:paraId="778C883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_Toc12091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（四）存在问题</w:t>
          </w:r>
          <w:r>
            <w:tab/>
          </w:r>
          <w:r>
            <w:fldChar w:fldCharType="begin"/>
          </w:r>
          <w:r>
            <w:instrText xml:space="preserve"> PAGEREF _Toc12091 \h </w:instrText>
          </w:r>
          <w:r>
            <w:fldChar w:fldCharType="separate"/>
          </w:r>
          <w:r>
            <w:t>- 5 -</w:t>
          </w:r>
          <w:r>
            <w:fldChar w:fldCharType="end"/>
          </w:r>
          <w:r>
            <w:rPr>
              <w:rFonts w:hint="eastAsia" w:ascii="宋体" w:hAnsi="宋体" w:eastAsia="宋体" w:cstheme="minorBidi"/>
              <w:kern w:val="2"/>
              <w:szCs w:val="24"/>
              <w:lang w:val="en-US" w:eastAsia="zh-CN" w:bidi="ar-SA"/>
            </w:rPr>
            <w:fldChar w:fldCharType="end"/>
          </w:r>
        </w:p>
        <w:p w14:paraId="37A22676">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_Toc3617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（五）项目建设的必要性</w:t>
          </w:r>
          <w:r>
            <w:tab/>
          </w:r>
          <w:r>
            <w:fldChar w:fldCharType="begin"/>
          </w:r>
          <w:r>
            <w:instrText xml:space="preserve"> PAGEREF _Toc3617 \h </w:instrText>
          </w:r>
          <w:r>
            <w:fldChar w:fldCharType="separate"/>
          </w:r>
          <w:r>
            <w:t>- 7 -</w:t>
          </w:r>
          <w:r>
            <w:fldChar w:fldCharType="end"/>
          </w:r>
          <w:r>
            <w:rPr>
              <w:rFonts w:hint="eastAsia" w:ascii="宋体" w:hAnsi="宋体" w:eastAsia="宋体" w:cstheme="minorBidi"/>
              <w:kern w:val="2"/>
              <w:szCs w:val="24"/>
              <w:lang w:val="en-US" w:eastAsia="zh-CN" w:bidi="ar-SA"/>
            </w:rPr>
            <w:fldChar w:fldCharType="end"/>
          </w:r>
        </w:p>
        <w:p w14:paraId="44B293D4">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_Toc4109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（六）实现价值</w:t>
          </w:r>
          <w:r>
            <w:tab/>
          </w:r>
          <w:r>
            <w:fldChar w:fldCharType="begin"/>
          </w:r>
          <w:r>
            <w:instrText xml:space="preserve"> PAGEREF _Toc4109 \h </w:instrText>
          </w:r>
          <w:r>
            <w:fldChar w:fldCharType="separate"/>
          </w:r>
          <w:r>
            <w:t>- 7 -</w:t>
          </w:r>
          <w:r>
            <w:fldChar w:fldCharType="end"/>
          </w:r>
          <w:r>
            <w:rPr>
              <w:rFonts w:hint="eastAsia" w:ascii="宋体" w:hAnsi="宋体" w:eastAsia="宋体" w:cstheme="minorBidi"/>
              <w:kern w:val="2"/>
              <w:szCs w:val="24"/>
              <w:lang w:val="en-US" w:eastAsia="zh-CN" w:bidi="ar-SA"/>
            </w:rPr>
            <w:fldChar w:fldCharType="end"/>
          </w:r>
        </w:p>
        <w:p w14:paraId="24C24448">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_Toc23844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rPr>
            <w:t>二、整体方案设计</w:t>
          </w:r>
          <w:r>
            <w:tab/>
          </w:r>
          <w:r>
            <w:fldChar w:fldCharType="begin"/>
          </w:r>
          <w:r>
            <w:instrText xml:space="preserve"> PAGEREF _Toc23844 \h </w:instrText>
          </w:r>
          <w:r>
            <w:fldChar w:fldCharType="separate"/>
          </w:r>
          <w:r>
            <w:t>- 8 -</w:t>
          </w:r>
          <w:r>
            <w:fldChar w:fldCharType="end"/>
          </w:r>
          <w:r>
            <w:rPr>
              <w:rFonts w:hint="eastAsia" w:ascii="宋体" w:hAnsi="宋体" w:eastAsia="宋体" w:cstheme="minorBidi"/>
              <w:kern w:val="2"/>
              <w:szCs w:val="24"/>
              <w:lang w:val="en-US" w:eastAsia="zh-CN" w:bidi="ar-SA"/>
            </w:rPr>
            <w:fldChar w:fldCharType="end"/>
          </w:r>
        </w:p>
        <w:p w14:paraId="08829542">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_Toc12601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（一）方案总述</w:t>
          </w:r>
          <w:r>
            <w:tab/>
          </w:r>
          <w:r>
            <w:fldChar w:fldCharType="begin"/>
          </w:r>
          <w:r>
            <w:instrText xml:space="preserve"> PAGEREF _Toc12601 \h </w:instrText>
          </w:r>
          <w:r>
            <w:fldChar w:fldCharType="separate"/>
          </w:r>
          <w:r>
            <w:t>- 8 -</w:t>
          </w:r>
          <w:r>
            <w:fldChar w:fldCharType="end"/>
          </w:r>
          <w:r>
            <w:rPr>
              <w:rFonts w:hint="eastAsia" w:ascii="宋体" w:hAnsi="宋体" w:eastAsia="宋体" w:cstheme="minorBidi"/>
              <w:kern w:val="2"/>
              <w:szCs w:val="24"/>
              <w:lang w:val="en-US" w:eastAsia="zh-CN" w:bidi="ar-SA"/>
            </w:rPr>
            <w:fldChar w:fldCharType="end"/>
          </w:r>
        </w:p>
        <w:p w14:paraId="721C1A73">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_Toc10010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（二）建设目标</w:t>
          </w:r>
          <w:r>
            <w:tab/>
          </w:r>
          <w:r>
            <w:fldChar w:fldCharType="begin"/>
          </w:r>
          <w:r>
            <w:instrText xml:space="preserve"> PAGEREF _Toc10010 \h </w:instrText>
          </w:r>
          <w:r>
            <w:fldChar w:fldCharType="separate"/>
          </w:r>
          <w:r>
            <w:t>- 9 -</w:t>
          </w:r>
          <w:r>
            <w:fldChar w:fldCharType="end"/>
          </w:r>
          <w:r>
            <w:rPr>
              <w:rFonts w:hint="eastAsia" w:ascii="宋体" w:hAnsi="宋体" w:eastAsia="宋体" w:cstheme="minorBidi"/>
              <w:kern w:val="2"/>
              <w:szCs w:val="24"/>
              <w:lang w:val="en-US" w:eastAsia="zh-CN" w:bidi="ar-SA"/>
            </w:rPr>
            <w:fldChar w:fldCharType="end"/>
          </w:r>
        </w:p>
        <w:p w14:paraId="1AB2E4BC">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_Toc17036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（三）业务需求</w:t>
          </w:r>
          <w:r>
            <w:tab/>
          </w:r>
          <w:r>
            <w:fldChar w:fldCharType="begin"/>
          </w:r>
          <w:r>
            <w:instrText xml:space="preserve"> PAGEREF _Toc17036 \h </w:instrText>
          </w:r>
          <w:r>
            <w:fldChar w:fldCharType="separate"/>
          </w:r>
          <w:r>
            <w:t>- 10 -</w:t>
          </w:r>
          <w:r>
            <w:fldChar w:fldCharType="end"/>
          </w:r>
          <w:r>
            <w:rPr>
              <w:rFonts w:hint="eastAsia" w:ascii="宋体" w:hAnsi="宋体" w:eastAsia="宋体" w:cstheme="minorBidi"/>
              <w:kern w:val="2"/>
              <w:szCs w:val="24"/>
              <w:lang w:val="en-US" w:eastAsia="zh-CN" w:bidi="ar-SA"/>
            </w:rPr>
            <w:fldChar w:fldCharType="end"/>
          </w:r>
        </w:p>
        <w:p w14:paraId="048E5E78">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_Toc16036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rPr>
            <w:t>三、整体解决方案</w:t>
          </w:r>
          <w:r>
            <w:tab/>
          </w:r>
          <w:r>
            <w:fldChar w:fldCharType="begin"/>
          </w:r>
          <w:r>
            <w:instrText xml:space="preserve"> PAGEREF _Toc16036 \h </w:instrText>
          </w:r>
          <w:r>
            <w:fldChar w:fldCharType="separate"/>
          </w:r>
          <w:r>
            <w:t>- 12 -</w:t>
          </w:r>
          <w:r>
            <w:fldChar w:fldCharType="end"/>
          </w:r>
          <w:r>
            <w:rPr>
              <w:rFonts w:hint="eastAsia" w:ascii="宋体" w:hAnsi="宋体" w:eastAsia="宋体" w:cstheme="minorBidi"/>
              <w:kern w:val="2"/>
              <w:szCs w:val="24"/>
              <w:lang w:val="en-US" w:eastAsia="zh-CN" w:bidi="ar-SA"/>
            </w:rPr>
            <w:fldChar w:fldCharType="end"/>
          </w:r>
        </w:p>
        <w:p w14:paraId="41D3C2F8">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_Toc19968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（一）研发平台规划步骤</w:t>
          </w:r>
          <w:r>
            <w:tab/>
          </w:r>
          <w:r>
            <w:fldChar w:fldCharType="begin"/>
          </w:r>
          <w:r>
            <w:instrText xml:space="preserve"> PAGEREF _Toc19968 \h </w:instrText>
          </w:r>
          <w:r>
            <w:fldChar w:fldCharType="separate"/>
          </w:r>
          <w:r>
            <w:t>- 12 -</w:t>
          </w:r>
          <w:r>
            <w:fldChar w:fldCharType="end"/>
          </w:r>
          <w:r>
            <w:rPr>
              <w:rFonts w:hint="eastAsia" w:ascii="宋体" w:hAnsi="宋体" w:eastAsia="宋体" w:cstheme="minorBidi"/>
              <w:kern w:val="2"/>
              <w:szCs w:val="24"/>
              <w:lang w:val="en-US" w:eastAsia="zh-CN" w:bidi="ar-SA"/>
            </w:rPr>
            <w:fldChar w:fldCharType="end"/>
          </w:r>
        </w:p>
        <w:p w14:paraId="35B7BAD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_Toc2098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rPr>
            <w:t>（</w:t>
          </w:r>
          <w:r>
            <w:rPr>
              <w:rFonts w:hint="eastAsia" w:ascii="方正楷体_GB2312" w:hAnsi="方正楷体_GB2312" w:eastAsia="方正楷体_GB2312" w:cs="方正楷体_GB2312"/>
              <w:lang w:val="en-US" w:eastAsia="zh-CN"/>
            </w:rPr>
            <w:t>二</w:t>
          </w:r>
          <w:r>
            <w:rPr>
              <w:rFonts w:hint="eastAsia" w:ascii="方正楷体_GB2312" w:hAnsi="方正楷体_GB2312" w:eastAsia="方正楷体_GB2312" w:cs="方正楷体_GB2312"/>
            </w:rPr>
            <w:t>）项目管理模块与功能</w:t>
          </w:r>
          <w:r>
            <w:tab/>
          </w:r>
          <w:r>
            <w:fldChar w:fldCharType="begin"/>
          </w:r>
          <w:r>
            <w:instrText xml:space="preserve"> PAGEREF _Toc2098 \h </w:instrText>
          </w:r>
          <w:r>
            <w:fldChar w:fldCharType="separate"/>
          </w:r>
          <w:r>
            <w:t>- 13 -</w:t>
          </w:r>
          <w:r>
            <w:fldChar w:fldCharType="end"/>
          </w:r>
          <w:r>
            <w:rPr>
              <w:rFonts w:hint="eastAsia" w:ascii="宋体" w:hAnsi="宋体" w:eastAsia="宋体" w:cstheme="minorBidi"/>
              <w:kern w:val="2"/>
              <w:szCs w:val="24"/>
              <w:lang w:val="en-US" w:eastAsia="zh-CN" w:bidi="ar-SA"/>
            </w:rPr>
            <w:fldChar w:fldCharType="end"/>
          </w:r>
        </w:p>
        <w:p w14:paraId="5F49C343">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_Toc1848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（三）系统集成</w:t>
          </w:r>
          <w:r>
            <w:tab/>
          </w:r>
          <w:r>
            <w:fldChar w:fldCharType="begin"/>
          </w:r>
          <w:r>
            <w:instrText xml:space="preserve"> PAGEREF _Toc1848 \h </w:instrText>
          </w:r>
          <w:r>
            <w:fldChar w:fldCharType="separate"/>
          </w:r>
          <w:r>
            <w:t>- 14 -</w:t>
          </w:r>
          <w:r>
            <w:fldChar w:fldCharType="end"/>
          </w:r>
          <w:r>
            <w:rPr>
              <w:rFonts w:hint="eastAsia" w:ascii="宋体" w:hAnsi="宋体" w:eastAsia="宋体" w:cstheme="minorBidi"/>
              <w:kern w:val="2"/>
              <w:szCs w:val="24"/>
              <w:lang w:val="en-US" w:eastAsia="zh-CN" w:bidi="ar-SA"/>
            </w:rPr>
            <w:fldChar w:fldCharType="end"/>
          </w:r>
        </w:p>
        <w:p w14:paraId="72493D20">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_Toc3589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szCs w:val="32"/>
              <w:lang w:val="en-US" w:eastAsia="zh-CN"/>
            </w:rPr>
            <w:t>（四）布局人工智能+AI模型应用</w:t>
          </w:r>
          <w:r>
            <w:tab/>
          </w:r>
          <w:r>
            <w:fldChar w:fldCharType="begin"/>
          </w:r>
          <w:r>
            <w:instrText xml:space="preserve"> PAGEREF _Toc3589 \h </w:instrText>
          </w:r>
          <w:r>
            <w:fldChar w:fldCharType="separate"/>
          </w:r>
          <w:r>
            <w:t>- 17 -</w:t>
          </w:r>
          <w:r>
            <w:fldChar w:fldCharType="end"/>
          </w:r>
          <w:r>
            <w:rPr>
              <w:rFonts w:hint="eastAsia" w:ascii="宋体" w:hAnsi="宋体" w:eastAsia="宋体" w:cstheme="minorBidi"/>
              <w:kern w:val="2"/>
              <w:szCs w:val="24"/>
              <w:lang w:val="en-US" w:eastAsia="zh-CN" w:bidi="ar-SA"/>
            </w:rPr>
            <w:fldChar w:fldCharType="end"/>
          </w:r>
        </w:p>
        <w:p w14:paraId="303C9230">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_Toc2036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rPr>
            <w:t>四、技术要求</w:t>
          </w:r>
          <w:r>
            <w:tab/>
          </w:r>
          <w:r>
            <w:fldChar w:fldCharType="begin"/>
          </w:r>
          <w:r>
            <w:instrText xml:space="preserve"> PAGEREF _Toc2036 \h </w:instrText>
          </w:r>
          <w:r>
            <w:fldChar w:fldCharType="separate"/>
          </w:r>
          <w:r>
            <w:t>- 17 -</w:t>
          </w:r>
          <w:r>
            <w:fldChar w:fldCharType="end"/>
          </w:r>
          <w:r>
            <w:rPr>
              <w:rFonts w:hint="eastAsia" w:ascii="宋体" w:hAnsi="宋体" w:eastAsia="宋体" w:cstheme="minorBidi"/>
              <w:kern w:val="2"/>
              <w:szCs w:val="24"/>
              <w:lang w:val="en-US" w:eastAsia="zh-CN" w:bidi="ar-SA"/>
            </w:rPr>
            <w:fldChar w:fldCharType="end"/>
          </w:r>
        </w:p>
        <w:p w14:paraId="56B65FFF">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_Toc24914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（一）基础技术架构要求</w:t>
          </w:r>
          <w:r>
            <w:tab/>
          </w:r>
          <w:r>
            <w:fldChar w:fldCharType="begin"/>
          </w:r>
          <w:r>
            <w:instrText xml:space="preserve"> PAGEREF _Toc24914 \h </w:instrText>
          </w:r>
          <w:r>
            <w:fldChar w:fldCharType="separate"/>
          </w:r>
          <w:r>
            <w:t>- 17 -</w:t>
          </w:r>
          <w:r>
            <w:fldChar w:fldCharType="end"/>
          </w:r>
          <w:r>
            <w:rPr>
              <w:rFonts w:hint="eastAsia" w:ascii="宋体" w:hAnsi="宋体" w:eastAsia="宋体" w:cstheme="minorBidi"/>
              <w:kern w:val="2"/>
              <w:szCs w:val="24"/>
              <w:lang w:val="en-US" w:eastAsia="zh-CN" w:bidi="ar-SA"/>
            </w:rPr>
            <w:fldChar w:fldCharType="end"/>
          </w:r>
        </w:p>
        <w:p w14:paraId="7EACD13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_Toc26918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（二）核心技术标准</w:t>
          </w:r>
          <w:r>
            <w:tab/>
          </w:r>
          <w:r>
            <w:fldChar w:fldCharType="begin"/>
          </w:r>
          <w:r>
            <w:instrText xml:space="preserve"> PAGEREF _Toc26918 \h </w:instrText>
          </w:r>
          <w:r>
            <w:fldChar w:fldCharType="separate"/>
          </w:r>
          <w:r>
            <w:t>- 18 -</w:t>
          </w:r>
          <w:r>
            <w:fldChar w:fldCharType="end"/>
          </w:r>
          <w:r>
            <w:rPr>
              <w:rFonts w:hint="eastAsia" w:ascii="宋体" w:hAnsi="宋体" w:eastAsia="宋体" w:cstheme="minorBidi"/>
              <w:kern w:val="2"/>
              <w:szCs w:val="24"/>
              <w:lang w:val="en-US" w:eastAsia="zh-CN" w:bidi="ar-SA"/>
            </w:rPr>
            <w:fldChar w:fldCharType="end"/>
          </w:r>
        </w:p>
        <w:p w14:paraId="65564C4B">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_Toc6547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rPr>
            <w:t>（三）部署与服务要求</w:t>
          </w:r>
          <w:r>
            <w:tab/>
          </w:r>
          <w:r>
            <w:fldChar w:fldCharType="begin"/>
          </w:r>
          <w:r>
            <w:instrText xml:space="preserve"> PAGEREF _Toc6547 \h </w:instrText>
          </w:r>
          <w:r>
            <w:fldChar w:fldCharType="separate"/>
          </w:r>
          <w:r>
            <w:t>- 19 -</w:t>
          </w:r>
          <w:r>
            <w:fldChar w:fldCharType="end"/>
          </w:r>
          <w:r>
            <w:rPr>
              <w:rFonts w:hint="eastAsia" w:ascii="宋体" w:hAnsi="宋体" w:eastAsia="宋体" w:cstheme="minorBidi"/>
              <w:kern w:val="2"/>
              <w:szCs w:val="24"/>
              <w:lang w:val="en-US" w:eastAsia="zh-CN" w:bidi="ar-SA"/>
            </w:rPr>
            <w:fldChar w:fldCharType="end"/>
          </w:r>
        </w:p>
        <w:p w14:paraId="157F9B2D">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_Toc25984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rPr>
            <w:t>五、配套硬件：服务器</w:t>
          </w:r>
          <w:r>
            <w:rPr>
              <w:rFonts w:hint="eastAsia" w:ascii="黑体" w:hAnsi="黑体" w:eastAsia="黑体" w:cs="黑体"/>
              <w:szCs w:val="32"/>
              <w:lang w:val="en-US" w:eastAsia="zh-CN"/>
            </w:rPr>
            <w:t>&amp;网安设备</w:t>
          </w:r>
          <w:r>
            <w:rPr>
              <w:rFonts w:hint="eastAsia" w:ascii="黑体" w:hAnsi="黑体" w:eastAsia="黑体" w:cs="黑体"/>
              <w:szCs w:val="32"/>
            </w:rPr>
            <w:t>配置规划</w:t>
          </w:r>
          <w:r>
            <w:tab/>
          </w:r>
          <w:r>
            <w:fldChar w:fldCharType="begin"/>
          </w:r>
          <w:r>
            <w:instrText xml:space="preserve"> PAGEREF _Toc25984 \h </w:instrText>
          </w:r>
          <w:r>
            <w:fldChar w:fldCharType="separate"/>
          </w:r>
          <w:r>
            <w:t>- 20 -</w:t>
          </w:r>
          <w:r>
            <w:fldChar w:fldCharType="end"/>
          </w:r>
          <w:r>
            <w:rPr>
              <w:rFonts w:hint="eastAsia" w:ascii="宋体" w:hAnsi="宋体" w:eastAsia="宋体" w:cstheme="minorBidi"/>
              <w:kern w:val="2"/>
              <w:szCs w:val="24"/>
              <w:lang w:val="en-US" w:eastAsia="zh-CN" w:bidi="ar-SA"/>
            </w:rPr>
            <w:fldChar w:fldCharType="end"/>
          </w:r>
        </w:p>
        <w:p w14:paraId="59F144EA">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_Toc2886 </w:instrText>
          </w:r>
          <w:r>
            <w:rPr>
              <w:rFonts w:hint="eastAsia" w:ascii="宋体" w:hAnsi="宋体" w:eastAsia="宋体" w:cstheme="minorBidi"/>
              <w:kern w:val="2"/>
              <w:szCs w:val="24"/>
              <w:lang w:val="en-US" w:eastAsia="zh-CN" w:bidi="ar-SA"/>
            </w:rPr>
            <w:fldChar w:fldCharType="separate"/>
          </w:r>
          <w:r>
            <w:rPr>
              <w:rFonts w:hint="eastAsia" w:ascii="仿宋" w:hAnsi="仿宋" w:eastAsia="仿宋" w:cs="仿宋"/>
              <w:szCs w:val="32"/>
              <w:lang w:val="en-US" w:eastAsia="zh-CN"/>
            </w:rPr>
            <w:t>1.服务器配置</w:t>
          </w:r>
          <w:r>
            <w:tab/>
          </w:r>
          <w:r>
            <w:fldChar w:fldCharType="begin"/>
          </w:r>
          <w:r>
            <w:instrText xml:space="preserve"> PAGEREF _Toc2886 \h </w:instrText>
          </w:r>
          <w:r>
            <w:fldChar w:fldCharType="separate"/>
          </w:r>
          <w:r>
            <w:t>- 20 -</w:t>
          </w:r>
          <w:r>
            <w:fldChar w:fldCharType="end"/>
          </w:r>
          <w:r>
            <w:rPr>
              <w:rFonts w:hint="eastAsia" w:ascii="宋体" w:hAnsi="宋体" w:eastAsia="宋体" w:cstheme="minorBidi"/>
              <w:kern w:val="2"/>
              <w:szCs w:val="24"/>
              <w:lang w:val="en-US" w:eastAsia="zh-CN" w:bidi="ar-SA"/>
            </w:rPr>
            <w:fldChar w:fldCharType="end"/>
          </w:r>
        </w:p>
        <w:p w14:paraId="02C29DE3">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_Toc22976 </w:instrText>
          </w:r>
          <w:r>
            <w:rPr>
              <w:rFonts w:hint="eastAsia" w:ascii="宋体" w:hAnsi="宋体" w:eastAsia="宋体" w:cstheme="minorBidi"/>
              <w:kern w:val="2"/>
              <w:szCs w:val="24"/>
              <w:lang w:val="en-US" w:eastAsia="zh-CN" w:bidi="ar-SA"/>
            </w:rPr>
            <w:fldChar w:fldCharType="separate"/>
          </w:r>
          <w:r>
            <w:rPr>
              <w:rFonts w:hint="eastAsia" w:ascii="仿宋" w:hAnsi="仿宋" w:eastAsia="仿宋" w:cs="仿宋"/>
              <w:bCs/>
              <w:szCs w:val="32"/>
              <w:highlight w:val="yellow"/>
              <w:lang w:val="en-US" w:eastAsia="zh-CN"/>
            </w:rPr>
            <w:t>2.网络安全建设</w:t>
          </w:r>
          <w:r>
            <w:tab/>
          </w:r>
          <w:r>
            <w:fldChar w:fldCharType="begin"/>
          </w:r>
          <w:r>
            <w:instrText xml:space="preserve"> PAGEREF _Toc22976 \h </w:instrText>
          </w:r>
          <w:r>
            <w:fldChar w:fldCharType="separate"/>
          </w:r>
          <w:r>
            <w:t>- 21 -</w:t>
          </w:r>
          <w:r>
            <w:fldChar w:fldCharType="end"/>
          </w:r>
          <w:r>
            <w:rPr>
              <w:rFonts w:hint="eastAsia" w:ascii="宋体" w:hAnsi="宋体" w:eastAsia="宋体" w:cstheme="minorBidi"/>
              <w:kern w:val="2"/>
              <w:szCs w:val="24"/>
              <w:lang w:val="en-US" w:eastAsia="zh-CN" w:bidi="ar-SA"/>
            </w:rPr>
            <w:fldChar w:fldCharType="end"/>
          </w:r>
        </w:p>
        <w:p w14:paraId="3C34C6CD">
          <w:pPr>
            <w:pStyle w:val="2"/>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_Toc22946 </w:instrText>
          </w:r>
          <w:r>
            <w:rPr>
              <w:rFonts w:hint="eastAsia" w:ascii="宋体" w:hAnsi="宋体" w:eastAsia="宋体" w:cstheme="minorBidi"/>
              <w:kern w:val="2"/>
              <w:szCs w:val="24"/>
              <w:lang w:val="en-US" w:eastAsia="zh-CN" w:bidi="ar-SA"/>
            </w:rPr>
            <w:fldChar w:fldCharType="separate"/>
          </w:r>
          <w:r>
            <w:rPr>
              <w:rFonts w:hint="eastAsia" w:ascii="仿宋" w:hAnsi="仿宋" w:eastAsia="仿宋" w:cs="仿宋"/>
              <w:bCs/>
              <w:i w:val="0"/>
              <w:iCs w:val="0"/>
              <w:caps w:val="0"/>
              <w:spacing w:val="0"/>
              <w:szCs w:val="32"/>
              <w:highlight w:val="yellow"/>
              <w:shd w:val="clear" w:fill="FFFFFF"/>
              <w:lang w:val="en-US" w:eastAsia="zh-CN"/>
            </w:rPr>
            <w:t>1.</w:t>
          </w:r>
          <w:r>
            <w:rPr>
              <w:rFonts w:hint="eastAsia" w:ascii="仿宋" w:hAnsi="仿宋" w:eastAsia="仿宋" w:cs="仿宋"/>
              <w:bCs/>
              <w:i w:val="0"/>
              <w:iCs w:val="0"/>
              <w:caps w:val="0"/>
              <w:spacing w:val="0"/>
              <w:szCs w:val="32"/>
              <w:highlight w:val="yellow"/>
              <w:shd w:val="clear" w:fill="FFFFFF"/>
            </w:rPr>
            <w:t>网络安全防护同步建设，关键设备已部署到位</w:t>
          </w:r>
          <w:r>
            <w:tab/>
          </w:r>
          <w:r>
            <w:fldChar w:fldCharType="begin"/>
          </w:r>
          <w:r>
            <w:instrText xml:space="preserve"> PAGEREF _Toc22946 \h </w:instrText>
          </w:r>
          <w:r>
            <w:fldChar w:fldCharType="separate"/>
          </w:r>
          <w:r>
            <w:t>- 21 -</w:t>
          </w:r>
          <w:r>
            <w:fldChar w:fldCharType="end"/>
          </w:r>
          <w:r>
            <w:rPr>
              <w:rFonts w:hint="eastAsia" w:ascii="宋体" w:hAnsi="宋体" w:eastAsia="宋体" w:cstheme="minorBidi"/>
              <w:kern w:val="2"/>
              <w:szCs w:val="24"/>
              <w:lang w:val="en-US" w:eastAsia="zh-CN" w:bidi="ar-SA"/>
            </w:rPr>
            <w:fldChar w:fldCharType="end"/>
          </w:r>
        </w:p>
        <w:p w14:paraId="381AB279">
          <w:pPr>
            <w:pStyle w:val="2"/>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_Toc22526 </w:instrText>
          </w:r>
          <w:r>
            <w:rPr>
              <w:rFonts w:hint="eastAsia" w:ascii="宋体" w:hAnsi="宋体" w:eastAsia="宋体" w:cstheme="minorBidi"/>
              <w:kern w:val="2"/>
              <w:szCs w:val="24"/>
              <w:lang w:val="en-US" w:eastAsia="zh-CN" w:bidi="ar-SA"/>
            </w:rPr>
            <w:fldChar w:fldCharType="separate"/>
          </w:r>
          <w:r>
            <w:rPr>
              <w:rFonts w:hint="eastAsia" w:ascii="仿宋" w:hAnsi="仿宋" w:eastAsia="仿宋" w:cs="仿宋"/>
              <w:bCs/>
              <w:i w:val="0"/>
              <w:iCs w:val="0"/>
              <w:caps w:val="0"/>
              <w:spacing w:val="0"/>
              <w:szCs w:val="32"/>
              <w:highlight w:val="yellow"/>
              <w:shd w:val="clear" w:fill="FFFFFF"/>
              <w:lang w:val="en-US" w:eastAsia="zh-CN"/>
            </w:rPr>
            <w:t>2</w:t>
          </w:r>
          <w:r>
            <w:rPr>
              <w:rFonts w:hint="eastAsia" w:ascii="仿宋" w:hAnsi="仿宋" w:eastAsia="仿宋" w:cs="仿宋"/>
              <w:bCs/>
              <w:i w:val="0"/>
              <w:iCs w:val="0"/>
              <w:caps w:val="0"/>
              <w:spacing w:val="0"/>
              <w:szCs w:val="32"/>
              <w:highlight w:val="yellow"/>
              <w:shd w:val="clear" w:fill="FFFFFF"/>
            </w:rPr>
            <w:t>. 确保建成后达到等保二级标准</w:t>
          </w:r>
          <w:r>
            <w:tab/>
          </w:r>
          <w:r>
            <w:fldChar w:fldCharType="begin"/>
          </w:r>
          <w:r>
            <w:instrText xml:space="preserve"> PAGEREF _Toc22526 \h </w:instrText>
          </w:r>
          <w:r>
            <w:fldChar w:fldCharType="separate"/>
          </w:r>
          <w:r>
            <w:t>- 22 -</w:t>
          </w:r>
          <w:r>
            <w:fldChar w:fldCharType="end"/>
          </w:r>
          <w:r>
            <w:rPr>
              <w:rFonts w:hint="eastAsia" w:ascii="宋体" w:hAnsi="宋体" w:eastAsia="宋体" w:cstheme="minorBidi"/>
              <w:kern w:val="2"/>
              <w:szCs w:val="24"/>
              <w:lang w:val="en-US" w:eastAsia="zh-CN" w:bidi="ar-SA"/>
            </w:rPr>
            <w:fldChar w:fldCharType="end"/>
          </w:r>
        </w:p>
        <w:p w14:paraId="561F5356">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_Toc25363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lang w:val="en-US" w:eastAsia="zh-CN"/>
            </w:rPr>
            <w:t>六、实施与服务需求</w:t>
          </w:r>
          <w:r>
            <w:tab/>
          </w:r>
          <w:r>
            <w:fldChar w:fldCharType="begin"/>
          </w:r>
          <w:r>
            <w:instrText xml:space="preserve"> PAGEREF _Toc25363 \h </w:instrText>
          </w:r>
          <w:r>
            <w:fldChar w:fldCharType="separate"/>
          </w:r>
          <w:r>
            <w:t>- 22 -</w:t>
          </w:r>
          <w:r>
            <w:fldChar w:fldCharType="end"/>
          </w:r>
          <w:r>
            <w:rPr>
              <w:rFonts w:hint="eastAsia" w:ascii="宋体" w:hAnsi="宋体" w:eastAsia="宋体" w:cstheme="minorBidi"/>
              <w:kern w:val="2"/>
              <w:szCs w:val="24"/>
              <w:lang w:val="en-US" w:eastAsia="zh-CN" w:bidi="ar-SA"/>
            </w:rPr>
            <w:fldChar w:fldCharType="end"/>
          </w:r>
        </w:p>
        <w:p w14:paraId="6EA2BC11">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_Toc28359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（一）实施方式与策略</w:t>
          </w:r>
          <w:r>
            <w:tab/>
          </w:r>
          <w:r>
            <w:fldChar w:fldCharType="begin"/>
          </w:r>
          <w:r>
            <w:instrText xml:space="preserve"> PAGEREF _Toc28359 \h </w:instrText>
          </w:r>
          <w:r>
            <w:fldChar w:fldCharType="separate"/>
          </w:r>
          <w:r>
            <w:t>- 22 -</w:t>
          </w:r>
          <w:r>
            <w:fldChar w:fldCharType="end"/>
          </w:r>
          <w:r>
            <w:rPr>
              <w:rFonts w:hint="eastAsia" w:ascii="宋体" w:hAnsi="宋体" w:eastAsia="宋体" w:cstheme="minorBidi"/>
              <w:kern w:val="2"/>
              <w:szCs w:val="24"/>
              <w:lang w:val="en-US" w:eastAsia="zh-CN" w:bidi="ar-SA"/>
            </w:rPr>
            <w:fldChar w:fldCharType="end"/>
          </w:r>
        </w:p>
        <w:p w14:paraId="23AAA42B">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_Toc18045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（二）研发数据迁移规划</w:t>
          </w:r>
          <w:r>
            <w:tab/>
          </w:r>
          <w:r>
            <w:fldChar w:fldCharType="begin"/>
          </w:r>
          <w:r>
            <w:instrText xml:space="preserve"> PAGEREF _Toc18045 \h </w:instrText>
          </w:r>
          <w:r>
            <w:fldChar w:fldCharType="separate"/>
          </w:r>
          <w:r>
            <w:t>- 23 -</w:t>
          </w:r>
          <w:r>
            <w:fldChar w:fldCharType="end"/>
          </w:r>
          <w:r>
            <w:rPr>
              <w:rFonts w:hint="eastAsia" w:ascii="宋体" w:hAnsi="宋体" w:eastAsia="宋体" w:cstheme="minorBidi"/>
              <w:kern w:val="2"/>
              <w:szCs w:val="24"/>
              <w:lang w:val="en-US" w:eastAsia="zh-CN" w:bidi="ar-SA"/>
            </w:rPr>
            <w:fldChar w:fldCharType="end"/>
          </w:r>
        </w:p>
        <w:p w14:paraId="4E8B99AF">
          <w:pPr>
            <w:pStyle w:val="2"/>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_Toc2519 </w:instrText>
          </w:r>
          <w:r>
            <w:rPr>
              <w:rFonts w:hint="eastAsia" w:ascii="宋体" w:hAnsi="宋体" w:eastAsia="宋体" w:cstheme="minorBidi"/>
              <w:kern w:val="2"/>
              <w:szCs w:val="24"/>
              <w:lang w:val="en-US" w:eastAsia="zh-CN" w:bidi="ar-SA"/>
            </w:rPr>
            <w:fldChar w:fldCharType="separate"/>
          </w:r>
          <w:r>
            <w:rPr>
              <w:rFonts w:hint="eastAsia" w:ascii="方正仿宋_GB2312" w:hAnsi="方正仿宋_GB2312" w:eastAsia="方正仿宋_GB2312" w:cs="方正仿宋_GB2312"/>
              <w:szCs w:val="32"/>
              <w:lang w:val="en-US" w:eastAsia="zh-CN"/>
            </w:rPr>
            <w:t>1、迁移核心目标（简单明确，不复杂）</w:t>
          </w:r>
          <w:r>
            <w:tab/>
          </w:r>
          <w:r>
            <w:fldChar w:fldCharType="begin"/>
          </w:r>
          <w:r>
            <w:instrText xml:space="preserve"> PAGEREF _Toc2519 \h </w:instrText>
          </w:r>
          <w:r>
            <w:fldChar w:fldCharType="separate"/>
          </w:r>
          <w:r>
            <w:t>- 23 -</w:t>
          </w:r>
          <w:r>
            <w:fldChar w:fldCharType="end"/>
          </w:r>
          <w:r>
            <w:rPr>
              <w:rFonts w:hint="eastAsia" w:ascii="宋体" w:hAnsi="宋体" w:eastAsia="宋体" w:cstheme="minorBidi"/>
              <w:kern w:val="2"/>
              <w:szCs w:val="24"/>
              <w:lang w:val="en-US" w:eastAsia="zh-CN" w:bidi="ar-SA"/>
            </w:rPr>
            <w:fldChar w:fldCharType="end"/>
          </w:r>
        </w:p>
        <w:p w14:paraId="0CC549F3">
          <w:pPr>
            <w:pStyle w:val="2"/>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_Toc28555 </w:instrText>
          </w:r>
          <w:r>
            <w:rPr>
              <w:rFonts w:hint="eastAsia" w:ascii="宋体" w:hAnsi="宋体" w:eastAsia="宋体" w:cstheme="minorBidi"/>
              <w:kern w:val="2"/>
              <w:szCs w:val="24"/>
              <w:lang w:val="en-US" w:eastAsia="zh-CN" w:bidi="ar-SA"/>
            </w:rPr>
            <w:fldChar w:fldCharType="separate"/>
          </w:r>
          <w:r>
            <w:rPr>
              <w:rFonts w:hint="eastAsia" w:ascii="方正仿宋_GB2312" w:hAnsi="方正仿宋_GB2312" w:eastAsia="方正仿宋_GB2312" w:cs="方正仿宋_GB2312"/>
              <w:szCs w:val="32"/>
              <w:lang w:val="en-US" w:eastAsia="zh-CN"/>
            </w:rPr>
            <w:t>2、迁移规划</w:t>
          </w:r>
          <w:r>
            <w:tab/>
          </w:r>
          <w:r>
            <w:fldChar w:fldCharType="begin"/>
          </w:r>
          <w:r>
            <w:instrText xml:space="preserve"> PAGEREF _Toc28555 \h </w:instrText>
          </w:r>
          <w:r>
            <w:fldChar w:fldCharType="separate"/>
          </w:r>
          <w:r>
            <w:t>- 23 -</w:t>
          </w:r>
          <w:r>
            <w:fldChar w:fldCharType="end"/>
          </w:r>
          <w:r>
            <w:rPr>
              <w:rFonts w:hint="eastAsia" w:ascii="宋体" w:hAnsi="宋体" w:eastAsia="宋体" w:cstheme="minorBidi"/>
              <w:kern w:val="2"/>
              <w:szCs w:val="24"/>
              <w:lang w:val="en-US" w:eastAsia="zh-CN" w:bidi="ar-SA"/>
            </w:rPr>
            <w:fldChar w:fldCharType="end"/>
          </w:r>
        </w:p>
        <w:p w14:paraId="4F068486">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_Toc16793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（三）实施周期</w:t>
          </w:r>
          <w:r>
            <w:tab/>
          </w:r>
          <w:r>
            <w:fldChar w:fldCharType="begin"/>
          </w:r>
          <w:r>
            <w:instrText xml:space="preserve"> PAGEREF _Toc16793 \h </w:instrText>
          </w:r>
          <w:r>
            <w:fldChar w:fldCharType="separate"/>
          </w:r>
          <w:r>
            <w:t>- 24 -</w:t>
          </w:r>
          <w:r>
            <w:fldChar w:fldCharType="end"/>
          </w:r>
          <w:r>
            <w:rPr>
              <w:rFonts w:hint="eastAsia" w:ascii="宋体" w:hAnsi="宋体" w:eastAsia="宋体" w:cstheme="minorBidi"/>
              <w:kern w:val="2"/>
              <w:szCs w:val="24"/>
              <w:lang w:val="en-US" w:eastAsia="zh-CN" w:bidi="ar-SA"/>
            </w:rPr>
            <w:fldChar w:fldCharType="end"/>
          </w:r>
        </w:p>
        <w:p w14:paraId="765D9C7A">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_Toc19103 </w:instrText>
          </w:r>
          <w:r>
            <w:rPr>
              <w:rFonts w:hint="eastAsia" w:ascii="宋体" w:hAnsi="宋体" w:eastAsia="宋体" w:cstheme="minorBidi"/>
              <w:kern w:val="2"/>
              <w:szCs w:val="24"/>
              <w:lang w:val="en-US" w:eastAsia="zh-CN" w:bidi="ar-SA"/>
            </w:rPr>
            <w:fldChar w:fldCharType="separate"/>
          </w:r>
          <w:r>
            <w:rPr>
              <w:rFonts w:ascii="Arial" w:hAnsi="Arial" w:eastAsia="等线" w:cs="Arial"/>
            </w:rPr>
            <w:t>（</w:t>
          </w:r>
          <w:r>
            <w:rPr>
              <w:rFonts w:hint="eastAsia" w:ascii="Arial" w:hAnsi="Arial" w:eastAsia="等线" w:cs="Arial"/>
            </w:rPr>
            <w:t>二</w:t>
          </w:r>
          <w:r>
            <w:rPr>
              <w:rFonts w:ascii="Arial" w:hAnsi="Arial" w:eastAsia="等线" w:cs="Arial"/>
            </w:rPr>
            <w:t>）项目风险及控制</w:t>
          </w:r>
          <w:r>
            <w:tab/>
          </w:r>
          <w:r>
            <w:fldChar w:fldCharType="begin"/>
          </w:r>
          <w:r>
            <w:instrText xml:space="preserve"> PAGEREF _Toc19103 \h </w:instrText>
          </w:r>
          <w:r>
            <w:fldChar w:fldCharType="separate"/>
          </w:r>
          <w:r>
            <w:t>- 25 -</w:t>
          </w:r>
          <w:r>
            <w:fldChar w:fldCharType="end"/>
          </w:r>
          <w:r>
            <w:rPr>
              <w:rFonts w:hint="eastAsia" w:ascii="宋体" w:hAnsi="宋体" w:eastAsia="宋体" w:cstheme="minorBidi"/>
              <w:kern w:val="2"/>
              <w:szCs w:val="24"/>
              <w:lang w:val="en-US" w:eastAsia="zh-CN" w:bidi="ar-SA"/>
            </w:rPr>
            <w:fldChar w:fldCharType="end"/>
          </w:r>
        </w:p>
        <w:p w14:paraId="3042B4A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_Toc22507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（三）项目实施团队要求</w:t>
          </w:r>
          <w:r>
            <w:tab/>
          </w:r>
          <w:r>
            <w:fldChar w:fldCharType="begin"/>
          </w:r>
          <w:r>
            <w:instrText xml:space="preserve"> PAGEREF _Toc22507 \h </w:instrText>
          </w:r>
          <w:r>
            <w:fldChar w:fldCharType="separate"/>
          </w:r>
          <w:r>
            <w:t>- 26 -</w:t>
          </w:r>
          <w:r>
            <w:fldChar w:fldCharType="end"/>
          </w:r>
          <w:r>
            <w:rPr>
              <w:rFonts w:hint="eastAsia" w:ascii="宋体" w:hAnsi="宋体" w:eastAsia="宋体" w:cstheme="minorBidi"/>
              <w:kern w:val="2"/>
              <w:szCs w:val="24"/>
              <w:lang w:val="en-US" w:eastAsia="zh-CN" w:bidi="ar-SA"/>
            </w:rPr>
            <w:fldChar w:fldCharType="end"/>
          </w:r>
        </w:p>
        <w:p w14:paraId="12E7A804">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_Toc1310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szCs w:val="32"/>
              <w:lang w:val="en-US" w:eastAsia="zh-CN"/>
            </w:rPr>
            <w:t>（四）售后服务需求</w:t>
          </w:r>
          <w:r>
            <w:tab/>
          </w:r>
          <w:r>
            <w:fldChar w:fldCharType="begin"/>
          </w:r>
          <w:r>
            <w:instrText xml:space="preserve"> PAGEREF _Toc1310 \h </w:instrText>
          </w:r>
          <w:r>
            <w:fldChar w:fldCharType="separate"/>
          </w:r>
          <w:r>
            <w:t>- 26 -</w:t>
          </w:r>
          <w:r>
            <w:fldChar w:fldCharType="end"/>
          </w:r>
          <w:r>
            <w:rPr>
              <w:rFonts w:hint="eastAsia" w:ascii="宋体" w:hAnsi="宋体" w:eastAsia="宋体" w:cstheme="minorBidi"/>
              <w:kern w:val="2"/>
              <w:szCs w:val="24"/>
              <w:lang w:val="en-US" w:eastAsia="zh-CN" w:bidi="ar-SA"/>
            </w:rPr>
            <w:fldChar w:fldCharType="end"/>
          </w:r>
        </w:p>
        <w:p w14:paraId="52F9A4D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_Toc21424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（五）对投标人的要求</w:t>
          </w:r>
          <w:r>
            <w:tab/>
          </w:r>
          <w:r>
            <w:fldChar w:fldCharType="begin"/>
          </w:r>
          <w:r>
            <w:instrText xml:space="preserve"> PAGEREF _Toc21424 \h </w:instrText>
          </w:r>
          <w:r>
            <w:fldChar w:fldCharType="separate"/>
          </w:r>
          <w:r>
            <w:t>- 28 -</w:t>
          </w:r>
          <w:r>
            <w:fldChar w:fldCharType="end"/>
          </w:r>
          <w:r>
            <w:rPr>
              <w:rFonts w:hint="eastAsia" w:ascii="宋体" w:hAnsi="宋体" w:eastAsia="宋体" w:cstheme="minorBidi"/>
              <w:kern w:val="2"/>
              <w:szCs w:val="24"/>
              <w:lang w:val="en-US" w:eastAsia="zh-CN" w:bidi="ar-SA"/>
            </w:rPr>
            <w:fldChar w:fldCharType="end"/>
          </w:r>
        </w:p>
        <w:p w14:paraId="1FC143EF">
          <w:pPr>
            <w:pStyle w:val="4"/>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_Toc9510 </w:instrText>
          </w:r>
          <w:r>
            <w:rPr>
              <w:rFonts w:hint="eastAsia" w:ascii="宋体" w:hAnsi="宋体" w:eastAsia="宋体" w:cstheme="minorBidi"/>
              <w:kern w:val="2"/>
              <w:szCs w:val="24"/>
              <w:lang w:val="en-US" w:eastAsia="zh-CN" w:bidi="ar-SA"/>
            </w:rPr>
            <w:fldChar w:fldCharType="separate"/>
          </w:r>
          <w:r>
            <w:rPr>
              <w:rFonts w:hint="eastAsia" w:ascii="黑体" w:hAnsi="黑体" w:eastAsia="黑体" w:cs="黑体"/>
              <w:szCs w:val="32"/>
              <w:lang w:val="en-US" w:eastAsia="zh-CN"/>
            </w:rPr>
            <w:t>七、项目预算</w:t>
          </w:r>
          <w:r>
            <w:tab/>
          </w:r>
          <w:r>
            <w:fldChar w:fldCharType="begin"/>
          </w:r>
          <w:r>
            <w:instrText xml:space="preserve"> PAGEREF _Toc9510 \h </w:instrText>
          </w:r>
          <w:r>
            <w:fldChar w:fldCharType="separate"/>
          </w:r>
          <w:r>
            <w:t>- 28 -</w:t>
          </w:r>
          <w:r>
            <w:fldChar w:fldCharType="end"/>
          </w:r>
          <w:r>
            <w:rPr>
              <w:rFonts w:hint="eastAsia" w:ascii="宋体" w:hAnsi="宋体" w:eastAsia="宋体" w:cstheme="minorBidi"/>
              <w:kern w:val="2"/>
              <w:szCs w:val="24"/>
              <w:lang w:val="en-US" w:eastAsia="zh-CN" w:bidi="ar-SA"/>
            </w:rPr>
            <w:fldChar w:fldCharType="end"/>
          </w:r>
        </w:p>
        <w:p w14:paraId="48657257">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_Toc31283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（一）预算金额</w:t>
          </w:r>
          <w:r>
            <w:tab/>
          </w:r>
          <w:r>
            <w:fldChar w:fldCharType="begin"/>
          </w:r>
          <w:r>
            <w:instrText xml:space="preserve"> PAGEREF _Toc31283 \h </w:instrText>
          </w:r>
          <w:r>
            <w:fldChar w:fldCharType="separate"/>
          </w:r>
          <w:r>
            <w:t>- 28 -</w:t>
          </w:r>
          <w:r>
            <w:fldChar w:fldCharType="end"/>
          </w:r>
          <w:r>
            <w:rPr>
              <w:rFonts w:hint="eastAsia" w:ascii="宋体" w:hAnsi="宋体" w:eastAsia="宋体" w:cstheme="minorBidi"/>
              <w:kern w:val="2"/>
              <w:szCs w:val="24"/>
              <w:lang w:val="en-US" w:eastAsia="zh-CN" w:bidi="ar-SA"/>
            </w:rPr>
            <w:fldChar w:fldCharType="end"/>
          </w:r>
        </w:p>
        <w:p w14:paraId="700CEFBD">
          <w:pPr>
            <w:pStyle w:val="5"/>
            <w:tabs>
              <w:tab w:val="right" w:leader="dot" w:pos="8845"/>
            </w:tabs>
          </w:pPr>
          <w:r>
            <w:rPr>
              <w:rFonts w:hint="eastAsia" w:ascii="宋体" w:hAnsi="宋体" w:eastAsia="宋体" w:cstheme="minorBidi"/>
              <w:kern w:val="2"/>
              <w:szCs w:val="24"/>
              <w:lang w:val="en-US" w:eastAsia="zh-CN" w:bidi="ar-SA"/>
            </w:rPr>
            <w:fldChar w:fldCharType="begin"/>
          </w:r>
          <w:r>
            <w:rPr>
              <w:rFonts w:hint="eastAsia" w:ascii="宋体" w:hAnsi="宋体" w:eastAsia="宋体" w:cstheme="minorBidi"/>
              <w:kern w:val="2"/>
              <w:szCs w:val="24"/>
              <w:lang w:val="en-US" w:eastAsia="zh-CN" w:bidi="ar-SA"/>
            </w:rPr>
            <w:instrText xml:space="preserve"> HYPERLINK \l _Toc23539 </w:instrText>
          </w:r>
          <w:r>
            <w:rPr>
              <w:rFonts w:hint="eastAsia" w:ascii="宋体" w:hAnsi="宋体" w:eastAsia="宋体" w:cstheme="minorBidi"/>
              <w:kern w:val="2"/>
              <w:szCs w:val="24"/>
              <w:lang w:val="en-US" w:eastAsia="zh-CN" w:bidi="ar-SA"/>
            </w:rPr>
            <w:fldChar w:fldCharType="separate"/>
          </w:r>
          <w:r>
            <w:rPr>
              <w:rFonts w:hint="eastAsia" w:ascii="方正楷体_GB2312" w:hAnsi="方正楷体_GB2312" w:eastAsia="方正楷体_GB2312" w:cs="方正楷体_GB2312"/>
              <w:bCs/>
              <w:szCs w:val="32"/>
              <w:lang w:val="en-US" w:eastAsia="zh-CN"/>
            </w:rPr>
            <w:t>（二）采购方式</w:t>
          </w:r>
          <w:r>
            <w:tab/>
          </w:r>
          <w:r>
            <w:fldChar w:fldCharType="begin"/>
          </w:r>
          <w:r>
            <w:instrText xml:space="preserve"> PAGEREF _Toc23539 \h </w:instrText>
          </w:r>
          <w:r>
            <w:fldChar w:fldCharType="separate"/>
          </w:r>
          <w:r>
            <w:t>- 28 -</w:t>
          </w:r>
          <w:r>
            <w:fldChar w:fldCharType="end"/>
          </w:r>
          <w:r>
            <w:rPr>
              <w:rFonts w:hint="eastAsia" w:ascii="宋体" w:hAnsi="宋体" w:eastAsia="宋体" w:cstheme="minorBidi"/>
              <w:kern w:val="2"/>
              <w:szCs w:val="24"/>
              <w:lang w:val="en-US" w:eastAsia="zh-CN" w:bidi="ar-SA"/>
            </w:rPr>
            <w:fldChar w:fldCharType="end"/>
          </w:r>
        </w:p>
        <w:p w14:paraId="01B95EC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outlineLvl w:val="9"/>
            <w:rPr>
              <w:rFonts w:hint="eastAsia" w:ascii="宋体" w:hAnsi="宋体" w:eastAsia="宋体" w:cstheme="minorBidi"/>
              <w:kern w:val="2"/>
              <w:sz w:val="21"/>
              <w:szCs w:val="24"/>
              <w:lang w:val="en-US" w:eastAsia="zh-CN" w:bidi="ar-SA"/>
            </w:rPr>
          </w:pPr>
          <w:r>
            <w:rPr>
              <w:rFonts w:hint="eastAsia" w:ascii="宋体" w:hAnsi="宋体" w:eastAsia="宋体" w:cstheme="minorBidi"/>
              <w:kern w:val="2"/>
              <w:szCs w:val="24"/>
              <w:lang w:val="en-US" w:eastAsia="zh-CN" w:bidi="ar-SA"/>
            </w:rPr>
            <w:fldChar w:fldCharType="end"/>
          </w:r>
        </w:p>
      </w:sdtContent>
    </w:sdt>
    <w:p w14:paraId="4ED5D83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outlineLvl w:val="9"/>
        <w:rPr>
          <w:rFonts w:hint="eastAsia" w:ascii="宋体" w:hAnsi="宋体" w:eastAsia="宋体" w:cstheme="minorBidi"/>
          <w:kern w:val="2"/>
          <w:sz w:val="21"/>
          <w:szCs w:val="24"/>
          <w:lang w:val="en-US" w:eastAsia="zh-CN" w:bidi="ar-SA"/>
        </w:rPr>
      </w:pPr>
    </w:p>
    <w:p w14:paraId="58721C75">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hint="eastAsia" w:ascii="黑体" w:hAnsi="黑体" w:eastAsia="黑体" w:cs="黑体"/>
          <w:sz w:val="32"/>
          <w:szCs w:val="32"/>
        </w:rPr>
      </w:pPr>
      <w:bookmarkStart w:id="2" w:name="_Toc17931"/>
      <w:bookmarkStart w:id="114" w:name="_GoBack"/>
      <w:r>
        <w:rPr>
          <w:rFonts w:hint="eastAsia" w:ascii="黑体" w:hAnsi="黑体" w:eastAsia="黑体" w:cs="黑体"/>
          <w:sz w:val="32"/>
          <w:szCs w:val="32"/>
        </w:rPr>
        <w:t>一、项目简述</w:t>
      </w:r>
      <w:bookmarkEnd w:id="2"/>
    </w:p>
    <w:p w14:paraId="2CBAA3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3" w:name="_Toc224773466"/>
      <w:bookmarkStart w:id="4" w:name="_Toc12590"/>
      <w:bookmarkStart w:id="5" w:name="heading_63"/>
      <w:bookmarkStart w:id="6" w:name="_Toc224765128"/>
      <w:r>
        <w:rPr>
          <w:rFonts w:hint="eastAsia" w:ascii="方正楷体_GB2312" w:hAnsi="方正楷体_GB2312" w:eastAsia="方正楷体_GB2312" w:cs="方正楷体_GB2312"/>
          <w:b/>
          <w:bCs/>
          <w:sz w:val="32"/>
          <w:szCs w:val="32"/>
        </w:rPr>
        <w:t>（一）企业概况</w:t>
      </w:r>
      <w:bookmarkEnd w:id="3"/>
      <w:bookmarkEnd w:id="4"/>
      <w:bookmarkEnd w:id="5"/>
      <w:bookmarkEnd w:id="6"/>
    </w:p>
    <w:p w14:paraId="591898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苏州好博医疗器械股份有限公司成立于2011年，处于长三角医疗器械产业集聚区核心地带。现有员工近600名，在全国31个省市自治区设有办事处，服务全国各级医疗单位。</w:t>
      </w:r>
    </w:p>
    <w:p w14:paraId="0F26D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深耕十余载，好博医疗持续以技术创新与体系化能力驱动发展，先后获评国家高新技术企业、潜在独角兽企业、专精特新“小巨人”、瞪羚计划入库企业等多项荣誉。公司构建了集自主研发、制造、规划、运营、销售与全周期服务于一体的综合型产业平台。围绕康复全周期需求，好博医疗全面覆盖神经康复、疼痛康复、中医康复、骨科康复、产后康复、儿童康复、心肺康复及养老康复八大核心康复领域，能够满足多类型机构与多层级场景的应用需求。</w:t>
      </w:r>
    </w:p>
    <w:p w14:paraId="5F712A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7" w:name="_Toc224773467"/>
      <w:bookmarkStart w:id="8" w:name="heading_64"/>
      <w:bookmarkStart w:id="9" w:name="_Toc2610"/>
      <w:bookmarkStart w:id="10" w:name="_Toc224765129"/>
      <w:r>
        <w:rPr>
          <w:rFonts w:hint="eastAsia" w:ascii="方正楷体_GB2312" w:hAnsi="方正楷体_GB2312" w:eastAsia="方正楷体_GB2312" w:cs="方正楷体_GB2312"/>
          <w:b/>
          <w:bCs/>
          <w:sz w:val="32"/>
          <w:szCs w:val="32"/>
        </w:rPr>
        <w:t>（二）项目背景</w:t>
      </w:r>
      <w:bookmarkEnd w:id="7"/>
      <w:bookmarkEnd w:id="8"/>
      <w:bookmarkEnd w:id="9"/>
      <w:bookmarkEnd w:id="10"/>
    </w:p>
    <w:p w14:paraId="7842D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公司研发中心承担康复产品的全生命周期研发任务，业务覆盖从项目立项、设计开发、验证测试到产品上市和服务的完整流程。当前研发管理模式仍以传统分散式为主：项目管理依赖人工与线下会议调度，新产品研发过程中，电气设计与结构设计独立并行且缺乏协同机制影响效率，新产品设计的可行性缺乏验证工具，凭经验、靠试制的传统方式周期长、成本大还容易返工延迟产品上市，产品数据分散存储于个人终端，PDM核心研发数据（图纸、技术文档、BOM清单）未建立标准化管控体系，全流程数据追溯链条断裂。无法实现以项目、以产品为中心的工时和成本核算；同时，缺陷管理尚未形成系统化记录、追溯、跟踪、反馈与报表分析机制，研发数据与企业现有ERP系统脱节，生产、销售、服务部门数据均源于ERP，未实现以研发数据为核心的源头统一管控。</w:t>
      </w:r>
      <w:r>
        <w:rPr>
          <w:rFonts w:hint="eastAsia" w:ascii="方正仿宋_GB2312" w:hAnsi="方正仿宋_GB2312" w:eastAsia="方正仿宋_GB2312" w:cs="方正仿宋_GB2312"/>
          <w:sz w:val="32"/>
          <w:szCs w:val="32"/>
          <w:highlight w:val="none"/>
          <w:lang w:val="en-US" w:eastAsia="zh-CN"/>
        </w:rPr>
        <w:t>核心业务系统未与集团对接，未实现集团统一管理的要求。</w:t>
      </w:r>
      <w:r>
        <w:rPr>
          <w:rFonts w:hint="eastAsia" w:ascii="方正仿宋_GB2312" w:hAnsi="方正仿宋_GB2312" w:eastAsia="方正仿宋_GB2312" w:cs="方正仿宋_GB2312"/>
          <w:sz w:val="32"/>
          <w:szCs w:val="32"/>
        </w:rPr>
        <w:t>制度层面虽制定基础管理规范，但缺乏数字化工具支撑，标准化执行、合规性落地效果难以量化评估。</w:t>
      </w:r>
    </w:p>
    <w:p w14:paraId="5608E4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11" w:name="heading_66"/>
      <w:bookmarkStart w:id="12" w:name="_Toc224773468"/>
      <w:bookmarkStart w:id="13" w:name="_Toc224765130"/>
      <w:bookmarkStart w:id="14" w:name="_Toc30605"/>
      <w:r>
        <w:rPr>
          <w:rFonts w:hint="eastAsia" w:ascii="方正楷体_GB2312" w:hAnsi="方正楷体_GB2312" w:eastAsia="方正楷体_GB2312" w:cs="方正楷体_GB2312"/>
          <w:b/>
          <w:bCs/>
          <w:sz w:val="32"/>
          <w:szCs w:val="32"/>
        </w:rPr>
        <w:t>（三）建设思路</w:t>
      </w:r>
      <w:bookmarkEnd w:id="11"/>
      <w:bookmarkEnd w:id="12"/>
      <w:bookmarkEnd w:id="13"/>
      <w:bookmarkEnd w:id="14"/>
    </w:p>
    <w:p w14:paraId="79F1F9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针对企业技术研发部门现状及困难的了解，期望采用信息化手段，结合和优化企业的现有管理方式，来支撑技术研发部门的项目工作管理和产品数据管理。</w:t>
      </w:r>
    </w:p>
    <w:p w14:paraId="2E3A1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具体思路分为三步：</w:t>
      </w:r>
    </w:p>
    <w:p w14:paraId="45D8E8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首先，“数智化研发体系”需建立“规范化的管理体系、标准化的研发流程、可追溯的研发过程管理、分工明确且易核算、质量可控的过程管理，实现数据源</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一致</w:t>
      </w:r>
      <w:r>
        <w:rPr>
          <w:rFonts w:hint="eastAsia" w:ascii="方正仿宋_GB2312" w:hAnsi="方正仿宋_GB2312" w:eastAsia="方正仿宋_GB2312" w:cs="方正仿宋_GB2312"/>
          <w:sz w:val="32"/>
          <w:szCs w:val="32"/>
          <w:lang w:eastAsia="zh-CN"/>
        </w:rPr>
        <w:t>性</w:t>
      </w:r>
      <w:r>
        <w:rPr>
          <w:rFonts w:hint="eastAsia" w:ascii="方正仿宋_GB2312" w:hAnsi="方正仿宋_GB2312" w:eastAsia="方正仿宋_GB2312" w:cs="方正仿宋_GB2312"/>
          <w:sz w:val="32"/>
          <w:szCs w:val="32"/>
        </w:rPr>
        <w:t>。</w:t>
      </w:r>
    </w:p>
    <w:p w14:paraId="71B7B7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其次，研发数据是产品的源头，与生产、质量、采购、销售及财务等兄弟部门协同性至关重要，需要各部门</w:t>
      </w:r>
      <w:r>
        <w:rPr>
          <w:rFonts w:hint="eastAsia" w:ascii="方正仿宋_GB2312" w:hAnsi="方正仿宋_GB2312" w:eastAsia="方正仿宋_GB2312" w:cs="方正仿宋_GB2312"/>
          <w:sz w:val="32"/>
          <w:szCs w:val="32"/>
          <w:lang w:eastAsia="zh-CN"/>
        </w:rPr>
        <w:t>协同</w:t>
      </w:r>
      <w:r>
        <w:rPr>
          <w:rFonts w:hint="eastAsia" w:ascii="方正仿宋_GB2312" w:hAnsi="方正仿宋_GB2312" w:eastAsia="方正仿宋_GB2312" w:cs="方正仿宋_GB2312"/>
          <w:sz w:val="32"/>
          <w:szCs w:val="32"/>
        </w:rPr>
        <w:t>支持，与企业现有系统的数据对接将是重中之重，相互协同实现生产各要素数据的一致性、唯一性、可控性、可追溯及核算，提升企业运营效率。</w:t>
      </w:r>
    </w:p>
    <w:p w14:paraId="05ECE8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最后，企业级的研发管理平台，需要高层与基层的紧密互动，建立分工明确的数字化工作小组及部门协同体系，并基于各应用场景，在各关键用户确定系统对接负责人，协同研发部门实现系统的成功上线和应用。</w:t>
      </w:r>
    </w:p>
    <w:p w14:paraId="6CB066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15" w:name="_Toc224773469"/>
      <w:bookmarkStart w:id="16" w:name="heading_67"/>
      <w:bookmarkStart w:id="17" w:name="_Toc12091"/>
      <w:bookmarkStart w:id="18" w:name="_Toc224765131"/>
      <w:r>
        <w:rPr>
          <w:rFonts w:hint="eastAsia" w:ascii="方正楷体_GB2312" w:hAnsi="方正楷体_GB2312" w:eastAsia="方正楷体_GB2312" w:cs="方正楷体_GB2312"/>
          <w:b/>
          <w:bCs/>
          <w:sz w:val="32"/>
          <w:szCs w:val="32"/>
        </w:rPr>
        <w:t>（四）存在问题</w:t>
      </w:r>
      <w:bookmarkEnd w:id="15"/>
      <w:bookmarkEnd w:id="16"/>
      <w:bookmarkEnd w:id="17"/>
      <w:bookmarkEnd w:id="18"/>
    </w:p>
    <w:p w14:paraId="08E72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bookmarkStart w:id="19" w:name="heading_68"/>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纸质资料查询非常不方便，共享性差、效率低，影响工作的进度。</w:t>
      </w:r>
    </w:p>
    <w:p w14:paraId="261DA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电子文档</w:t>
      </w:r>
      <w:r>
        <w:rPr>
          <w:rFonts w:hint="eastAsia" w:ascii="方正仿宋_GB2312" w:hAnsi="方正仿宋_GB2312" w:eastAsia="方正仿宋_GB2312" w:cs="方正仿宋_GB2312"/>
          <w:sz w:val="32"/>
          <w:szCs w:val="32"/>
          <w:lang w:eastAsia="zh-CN"/>
        </w:rPr>
        <w:t>越来越</w:t>
      </w:r>
      <w:r>
        <w:rPr>
          <w:rFonts w:hint="eastAsia" w:ascii="方正仿宋_GB2312" w:hAnsi="方正仿宋_GB2312" w:eastAsia="方正仿宋_GB2312" w:cs="方正仿宋_GB2312"/>
          <w:sz w:val="32"/>
          <w:szCs w:val="32"/>
        </w:rPr>
        <w:t>多，版本也多，但电子图文缺乏系统统一管理，无法方便、正确</w:t>
      </w:r>
      <w:r>
        <w:rPr>
          <w:rFonts w:hint="eastAsia" w:ascii="方正仿宋_GB2312" w:hAnsi="方正仿宋_GB2312" w:eastAsia="方正仿宋_GB2312" w:cs="方正仿宋_GB2312"/>
          <w:sz w:val="32"/>
          <w:szCs w:val="32"/>
          <w:lang w:eastAsia="zh-CN"/>
        </w:rPr>
        <w:t>地</w:t>
      </w:r>
      <w:r>
        <w:rPr>
          <w:rFonts w:hint="eastAsia" w:ascii="方正仿宋_GB2312" w:hAnsi="方正仿宋_GB2312" w:eastAsia="方正仿宋_GB2312" w:cs="方正仿宋_GB2312"/>
          <w:sz w:val="32"/>
          <w:szCs w:val="32"/>
        </w:rPr>
        <w:t>查找。日常工作中经常会参考和借鉴已有数据，由于没有系统，现在工作重复录入和整理的工作非常多，不仅效率低下，还很难避免出现录入和统计错误这样的低级错误。</w:t>
      </w:r>
    </w:p>
    <w:p w14:paraId="5A63BC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在纸质图纸上划该，而忘记修改对应电子图纸，造成纸质数据与电子数据会出现不一致的情况，这时参照电子数据进行设计，将出现重复的设计错误。</w:t>
      </w:r>
    </w:p>
    <w:p w14:paraId="3F417F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sz w:val="32"/>
          <w:szCs w:val="32"/>
        </w:rPr>
        <w:t>目前BOM等数据无法按照项目和规则自动进行统计汇总，靠人工效率低且易出现错误。</w:t>
      </w:r>
    </w:p>
    <w:p w14:paraId="4EC5A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5. </w:t>
      </w:r>
      <w:r>
        <w:rPr>
          <w:rFonts w:hint="eastAsia" w:ascii="方正仿宋_GB2312" w:hAnsi="方正仿宋_GB2312" w:eastAsia="方正仿宋_GB2312" w:cs="方正仿宋_GB2312"/>
          <w:sz w:val="32"/>
          <w:szCs w:val="32"/>
        </w:rPr>
        <w:t>由于数据采用操作系统的文件夹方式保存，数据的安全性无法保证，也无法细化不同人员对各类数据的权限。</w:t>
      </w:r>
    </w:p>
    <w:p w14:paraId="0FDCE2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6. </w:t>
      </w:r>
      <w:r>
        <w:rPr>
          <w:rFonts w:hint="eastAsia" w:ascii="方正仿宋_GB2312" w:hAnsi="方正仿宋_GB2312" w:eastAsia="方正仿宋_GB2312" w:cs="方正仿宋_GB2312"/>
          <w:sz w:val="32"/>
          <w:szCs w:val="32"/>
        </w:rPr>
        <w:t>数据分散在不同计算机上，如果计算机中病毒或硬盘发生损坏，将会对企业产生不可估量的严重后果。</w:t>
      </w:r>
    </w:p>
    <w:p w14:paraId="27E294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7. </w:t>
      </w:r>
      <w:r>
        <w:rPr>
          <w:rFonts w:hint="eastAsia" w:ascii="方正仿宋_GB2312" w:hAnsi="方正仿宋_GB2312" w:eastAsia="方正仿宋_GB2312" w:cs="方正仿宋_GB2312"/>
          <w:sz w:val="32"/>
          <w:szCs w:val="32"/>
        </w:rPr>
        <w:t>一个产品的数据查找效率</w:t>
      </w:r>
      <w:r>
        <w:rPr>
          <w:rFonts w:hint="eastAsia" w:ascii="方正仿宋_GB2312" w:hAnsi="方正仿宋_GB2312" w:eastAsia="方正仿宋_GB2312" w:cs="方正仿宋_GB2312"/>
          <w:sz w:val="32"/>
          <w:szCs w:val="32"/>
          <w:lang w:eastAsia="zh-CN"/>
        </w:rPr>
        <w:t>低下</w:t>
      </w:r>
      <w:r>
        <w:rPr>
          <w:rFonts w:hint="eastAsia" w:ascii="方正仿宋_GB2312" w:hAnsi="方正仿宋_GB2312" w:eastAsia="方正仿宋_GB2312" w:cs="方正仿宋_GB2312"/>
          <w:sz w:val="32"/>
          <w:szCs w:val="32"/>
        </w:rPr>
        <w:t>，而且数据的完备性、版本的正确性难以保证。</w:t>
      </w:r>
    </w:p>
    <w:p w14:paraId="3A6B3E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8. </w:t>
      </w:r>
      <w:r>
        <w:rPr>
          <w:rFonts w:hint="eastAsia" w:ascii="方正仿宋_GB2312" w:hAnsi="方正仿宋_GB2312" w:eastAsia="方正仿宋_GB2312" w:cs="方正仿宋_GB2312"/>
          <w:sz w:val="32"/>
          <w:szCs w:val="32"/>
        </w:rPr>
        <w:t>现有项目管理机制，难以让项目相关人员对项目的整体规划达成清晰的共识，从而造成执行过程</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配合障碍，影响项目的顺利执行。</w:t>
      </w:r>
    </w:p>
    <w:p w14:paraId="3F59A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9. </w:t>
      </w:r>
      <w:r>
        <w:rPr>
          <w:rFonts w:hint="eastAsia" w:ascii="方正仿宋_GB2312" w:hAnsi="方正仿宋_GB2312" w:eastAsia="方正仿宋_GB2312" w:cs="方正仿宋_GB2312"/>
          <w:sz w:val="32"/>
          <w:szCs w:val="32"/>
        </w:rPr>
        <w:t>现有业务流程执行的过程缺乏系统有效的记录和监督，难以有效追踪；</w:t>
      </w:r>
    </w:p>
    <w:p w14:paraId="6CF36E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10. </w:t>
      </w:r>
      <w:r>
        <w:rPr>
          <w:rFonts w:hint="eastAsia" w:ascii="方正仿宋_GB2312" w:hAnsi="方正仿宋_GB2312" w:eastAsia="方正仿宋_GB2312" w:cs="方正仿宋_GB2312"/>
          <w:sz w:val="32"/>
          <w:szCs w:val="32"/>
        </w:rPr>
        <w:t>新品开发质量跟踪管理有限，缺陷无有效记录、分析、汇总，不能给协同部门、管理层及总公司提供数据支撑，会影响决策和调控。</w:t>
      </w:r>
    </w:p>
    <w:p w14:paraId="415AC6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11.核心业务系统未按集团要求进行系统集成。</w:t>
      </w:r>
    </w:p>
    <w:p w14:paraId="6CCCEB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20" w:name="_Toc3617"/>
      <w:bookmarkStart w:id="21" w:name="_Toc224773470"/>
      <w:bookmarkStart w:id="22" w:name="_Toc224765132"/>
      <w:r>
        <w:rPr>
          <w:rFonts w:hint="eastAsia" w:ascii="方正楷体_GB2312" w:hAnsi="方正楷体_GB2312" w:eastAsia="方正楷体_GB2312" w:cs="方正楷体_GB2312"/>
          <w:b/>
          <w:bCs/>
          <w:sz w:val="32"/>
          <w:szCs w:val="32"/>
        </w:rPr>
        <w:t>（五）项目建设的必要性</w:t>
      </w:r>
      <w:bookmarkEnd w:id="19"/>
      <w:bookmarkEnd w:id="20"/>
      <w:bookmarkEnd w:id="21"/>
      <w:bookmarkEnd w:id="22"/>
    </w:p>
    <w:p w14:paraId="0C1126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bookmarkStart w:id="23" w:name="heading_69"/>
      <w:bookmarkStart w:id="24" w:name="_Toc224765133"/>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落实公司战略与监管要求：通过构建标准化、数字化研发管理体系，推动国企管理制度落地见效，同时为未来多区域、多组织协同管理奠定基础，符合公司现阶段及未来发展规划和目标。</w:t>
      </w:r>
    </w:p>
    <w:p w14:paraId="08EE45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筑牢医疗行业合规底线：数智化研发管理平台可将合规要求固化为流程节点，确保研发全环节数据可追溯、可审计，规避合规风险。</w:t>
      </w:r>
    </w:p>
    <w:p w14:paraId="37E371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打通全流程研发管理瓶颈：通过平台实现项目立项、任务分发、进度管控、审批协同、缺陷管理的全流程数字化闭环，打通电气设计、结构设计、设计验证的协同链路，提升研发过程管控精度与执行效率。</w:t>
      </w:r>
    </w:p>
    <w:p w14:paraId="2B817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sz w:val="32"/>
          <w:szCs w:val="32"/>
        </w:rPr>
        <w:t>构建研发生态链数据统一体系：以研发数据为唯一源头，实现与ERP系统深度对接，打通研发、生产、采购、销售、服务部门的数据链路，保障生态链数据源的统一与唯一，解决跨部门数据割裂问题。</w:t>
      </w:r>
      <w:r>
        <w:rPr>
          <w:rFonts w:hint="eastAsia" w:ascii="方正仿宋_GB2312" w:hAnsi="方正仿宋_GB2312" w:eastAsia="方正仿宋_GB2312" w:cs="方正仿宋_GB2312"/>
          <w:sz w:val="32"/>
          <w:szCs w:val="32"/>
          <w:highlight w:val="none"/>
          <w:lang w:val="en-US" w:eastAsia="zh-CN"/>
        </w:rPr>
        <w:t>集成集团管控平台，实现单点登录、代办审批。</w:t>
      </w:r>
    </w:p>
    <w:p w14:paraId="21536E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5. </w:t>
      </w:r>
      <w:r>
        <w:rPr>
          <w:rFonts w:hint="eastAsia" w:ascii="方正仿宋_GB2312" w:hAnsi="方正仿宋_GB2312" w:eastAsia="方正仿宋_GB2312" w:cs="方正仿宋_GB2312"/>
          <w:sz w:val="32"/>
          <w:szCs w:val="32"/>
        </w:rPr>
        <w:t>支撑公司长期战略发展：平台具备良好的扩展性，可满足未来2-5年多区域部署、多组织协同的业务需求，为公司医疗健康产品全球化布局提供坚实的技术支撑。</w:t>
      </w:r>
    </w:p>
    <w:p w14:paraId="2A0AB5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25" w:name="_Toc224773471"/>
      <w:bookmarkStart w:id="26" w:name="_Toc4109"/>
      <w:r>
        <w:rPr>
          <w:rFonts w:hint="eastAsia" w:ascii="方正楷体_GB2312" w:hAnsi="方正楷体_GB2312" w:eastAsia="方正楷体_GB2312" w:cs="方正楷体_GB2312"/>
          <w:b/>
          <w:bCs/>
          <w:sz w:val="32"/>
          <w:szCs w:val="32"/>
        </w:rPr>
        <w:t>（六）实现价值</w:t>
      </w:r>
      <w:bookmarkEnd w:id="23"/>
      <w:bookmarkEnd w:id="24"/>
      <w:bookmarkEnd w:id="25"/>
      <w:bookmarkEnd w:id="26"/>
    </w:p>
    <w:p w14:paraId="722DA6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bookmarkStart w:id="27" w:name="_Toc224765134"/>
      <w:bookmarkStart w:id="28" w:name="heading_70"/>
      <w:r>
        <w:rPr>
          <w:rFonts w:hint="eastAsia" w:ascii="方正仿宋_GB2312" w:hAnsi="方正仿宋_GB2312" w:eastAsia="方正仿宋_GB2312" w:cs="方正仿宋_GB2312"/>
          <w:sz w:val="32"/>
          <w:szCs w:val="32"/>
        </w:rPr>
        <w:t>针对上述业务场景，好博医疗研发管理PLM研发管理系统可实现以下核心价值：</w:t>
      </w:r>
    </w:p>
    <w:tbl>
      <w:tblPr>
        <w:tblStyle w:val="7"/>
        <w:tblW w:w="8853"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39"/>
        <w:gridCol w:w="6814"/>
      </w:tblGrid>
      <w:tr w14:paraId="215311C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67" w:hRule="atLeast"/>
        </w:trPr>
        <w:tc>
          <w:tcPr>
            <w:tcW w:w="2039" w:type="dxa"/>
            <w:tcMar>
              <w:top w:w="60" w:type="dxa"/>
              <w:left w:w="120" w:type="dxa"/>
              <w:bottom w:w="30" w:type="dxa"/>
              <w:right w:w="120" w:type="dxa"/>
            </w:tcMar>
          </w:tcPr>
          <w:p w14:paraId="5C5D1B6A">
            <w:pPr>
              <w:jc w:val="center"/>
              <w:rPr>
                <w:rFonts w:hint="eastAsia"/>
              </w:rPr>
            </w:pPr>
            <w:r>
              <w:t>岗位</w:t>
            </w:r>
          </w:p>
        </w:tc>
        <w:tc>
          <w:tcPr>
            <w:tcW w:w="6814" w:type="dxa"/>
            <w:tcMar>
              <w:top w:w="60" w:type="dxa"/>
              <w:left w:w="120" w:type="dxa"/>
              <w:bottom w:w="30" w:type="dxa"/>
              <w:right w:w="120" w:type="dxa"/>
            </w:tcMar>
          </w:tcPr>
          <w:p w14:paraId="7AF197A2">
            <w:pPr>
              <w:jc w:val="center"/>
              <w:rPr>
                <w:rFonts w:hint="eastAsia"/>
              </w:rPr>
            </w:pPr>
            <w:r>
              <w:t>核心价值</w:t>
            </w:r>
          </w:p>
        </w:tc>
      </w:tr>
      <w:tr w14:paraId="39CEAD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63" w:hRule="atLeast"/>
        </w:trPr>
        <w:tc>
          <w:tcPr>
            <w:tcW w:w="2039" w:type="dxa"/>
            <w:tcMar>
              <w:top w:w="60" w:type="dxa"/>
              <w:left w:w="120" w:type="dxa"/>
              <w:bottom w:w="30" w:type="dxa"/>
              <w:right w:w="120" w:type="dxa"/>
            </w:tcMar>
          </w:tcPr>
          <w:p w14:paraId="0ADE80FA">
            <w:pPr>
              <w:jc w:val="center"/>
              <w:rPr>
                <w:rFonts w:hint="eastAsia"/>
              </w:rPr>
            </w:pPr>
            <w:r>
              <w:t>高管</w:t>
            </w:r>
          </w:p>
        </w:tc>
        <w:tc>
          <w:tcPr>
            <w:tcW w:w="6814" w:type="dxa"/>
            <w:tcMar>
              <w:top w:w="60" w:type="dxa"/>
              <w:left w:w="120" w:type="dxa"/>
              <w:bottom w:w="30" w:type="dxa"/>
              <w:right w:w="120" w:type="dxa"/>
            </w:tcMar>
          </w:tcPr>
          <w:p w14:paraId="15069D56">
            <w:pPr>
              <w:rPr>
                <w:rFonts w:hint="eastAsia"/>
              </w:rPr>
            </w:pPr>
            <w:r>
              <w:rPr>
                <w:rFonts w:hint="eastAsia"/>
              </w:rPr>
              <w:t>洞悉产品</w:t>
            </w:r>
            <w:r>
              <w:t>研发全</w:t>
            </w:r>
            <w:r>
              <w:rPr>
                <w:rFonts w:hint="eastAsia"/>
              </w:rPr>
              <w:t>过程</w:t>
            </w:r>
          </w:p>
        </w:tc>
      </w:tr>
      <w:tr w14:paraId="0E185FE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8" w:hRule="atLeast"/>
        </w:trPr>
        <w:tc>
          <w:tcPr>
            <w:tcW w:w="2039" w:type="dxa"/>
            <w:tcMar>
              <w:top w:w="60" w:type="dxa"/>
              <w:left w:w="120" w:type="dxa"/>
              <w:bottom w:w="30" w:type="dxa"/>
              <w:right w:w="120" w:type="dxa"/>
            </w:tcMar>
          </w:tcPr>
          <w:p w14:paraId="48E8CF76">
            <w:pPr>
              <w:jc w:val="center"/>
              <w:rPr>
                <w:rFonts w:hint="eastAsia"/>
              </w:rPr>
            </w:pPr>
            <w:r>
              <w:t>研发</w:t>
            </w:r>
          </w:p>
        </w:tc>
        <w:tc>
          <w:tcPr>
            <w:tcW w:w="6814" w:type="dxa"/>
            <w:tcMar>
              <w:top w:w="60" w:type="dxa"/>
              <w:left w:w="120" w:type="dxa"/>
              <w:bottom w:w="30" w:type="dxa"/>
              <w:right w:w="120" w:type="dxa"/>
            </w:tcMar>
          </w:tcPr>
          <w:p w14:paraId="266BBC02">
            <w:pPr>
              <w:rPr>
                <w:rFonts w:hint="eastAsia"/>
              </w:rPr>
            </w:pPr>
            <w:r>
              <w:t>高效实施产品全周期、全要素</w:t>
            </w:r>
            <w:r>
              <w:rPr>
                <w:rFonts w:hint="eastAsia"/>
              </w:rPr>
              <w:t>、协同和规范化</w:t>
            </w:r>
            <w:r>
              <w:t>管理</w:t>
            </w:r>
          </w:p>
        </w:tc>
      </w:tr>
      <w:tr w14:paraId="3A71BD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5" w:hRule="atLeast"/>
        </w:trPr>
        <w:tc>
          <w:tcPr>
            <w:tcW w:w="2039" w:type="dxa"/>
            <w:tcMar>
              <w:top w:w="60" w:type="dxa"/>
              <w:left w:w="120" w:type="dxa"/>
              <w:bottom w:w="30" w:type="dxa"/>
              <w:right w:w="120" w:type="dxa"/>
            </w:tcMar>
          </w:tcPr>
          <w:p w14:paraId="5824368C">
            <w:pPr>
              <w:jc w:val="center"/>
              <w:rPr>
                <w:rFonts w:hint="eastAsia"/>
              </w:rPr>
            </w:pPr>
            <w:r>
              <w:t>工艺</w:t>
            </w:r>
          </w:p>
        </w:tc>
        <w:tc>
          <w:tcPr>
            <w:tcW w:w="6814" w:type="dxa"/>
            <w:tcMar>
              <w:top w:w="60" w:type="dxa"/>
              <w:left w:w="120" w:type="dxa"/>
              <w:bottom w:w="30" w:type="dxa"/>
              <w:right w:w="120" w:type="dxa"/>
            </w:tcMar>
          </w:tcPr>
          <w:p w14:paraId="004D8EF3">
            <w:pPr>
              <w:rPr>
                <w:rFonts w:hint="eastAsia"/>
              </w:rPr>
            </w:pPr>
            <w:r>
              <w:t>实现设计到生产的无缝衔接，工艺标准化管控</w:t>
            </w:r>
          </w:p>
        </w:tc>
      </w:tr>
      <w:tr w14:paraId="459A091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367" w:hRule="atLeast"/>
        </w:trPr>
        <w:tc>
          <w:tcPr>
            <w:tcW w:w="2039" w:type="dxa"/>
            <w:tcMar>
              <w:top w:w="60" w:type="dxa"/>
              <w:left w:w="120" w:type="dxa"/>
              <w:bottom w:w="30" w:type="dxa"/>
              <w:right w:w="120" w:type="dxa"/>
            </w:tcMar>
          </w:tcPr>
          <w:p w14:paraId="3890B333">
            <w:pPr>
              <w:jc w:val="center"/>
              <w:rPr>
                <w:rFonts w:hint="eastAsia"/>
              </w:rPr>
            </w:pPr>
            <w:r>
              <w:t>质量</w:t>
            </w:r>
          </w:p>
        </w:tc>
        <w:tc>
          <w:tcPr>
            <w:tcW w:w="6814" w:type="dxa"/>
            <w:tcMar>
              <w:top w:w="60" w:type="dxa"/>
              <w:left w:w="120" w:type="dxa"/>
              <w:bottom w:w="30" w:type="dxa"/>
              <w:right w:w="120" w:type="dxa"/>
            </w:tcMar>
          </w:tcPr>
          <w:p w14:paraId="22377BED">
            <w:pPr>
              <w:rPr>
                <w:rFonts w:hint="eastAsia"/>
              </w:rPr>
            </w:pPr>
            <w:r>
              <w:t>多维度、高时效的质量管控</w:t>
            </w:r>
          </w:p>
        </w:tc>
      </w:tr>
      <w:tr w14:paraId="4DE701F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5" w:hRule="atLeast"/>
        </w:trPr>
        <w:tc>
          <w:tcPr>
            <w:tcW w:w="2039" w:type="dxa"/>
            <w:tcMar>
              <w:top w:w="60" w:type="dxa"/>
              <w:left w:w="120" w:type="dxa"/>
              <w:bottom w:w="30" w:type="dxa"/>
              <w:right w:w="120" w:type="dxa"/>
            </w:tcMar>
          </w:tcPr>
          <w:p w14:paraId="415C8B75">
            <w:pPr>
              <w:jc w:val="center"/>
              <w:rPr>
                <w:rFonts w:hint="eastAsia"/>
              </w:rPr>
            </w:pPr>
            <w:r>
              <w:t>生产</w:t>
            </w:r>
          </w:p>
        </w:tc>
        <w:tc>
          <w:tcPr>
            <w:tcW w:w="6814" w:type="dxa"/>
            <w:tcMar>
              <w:top w:w="60" w:type="dxa"/>
              <w:left w:w="120" w:type="dxa"/>
              <w:bottom w:w="30" w:type="dxa"/>
              <w:right w:w="120" w:type="dxa"/>
            </w:tcMar>
          </w:tcPr>
          <w:p w14:paraId="165ECCE4">
            <w:pPr>
              <w:rPr>
                <w:rFonts w:hint="eastAsia"/>
              </w:rPr>
            </w:pPr>
            <w:r>
              <w:t>精准获取BOM与工艺数据，减少错料、返工</w:t>
            </w:r>
          </w:p>
        </w:tc>
      </w:tr>
      <w:tr w14:paraId="15EF03C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5" w:hRule="atLeast"/>
        </w:trPr>
        <w:tc>
          <w:tcPr>
            <w:tcW w:w="2039" w:type="dxa"/>
            <w:tcMar>
              <w:top w:w="60" w:type="dxa"/>
              <w:left w:w="120" w:type="dxa"/>
              <w:bottom w:w="30" w:type="dxa"/>
              <w:right w:w="120" w:type="dxa"/>
            </w:tcMar>
          </w:tcPr>
          <w:p w14:paraId="324286D1">
            <w:pPr>
              <w:jc w:val="center"/>
              <w:rPr>
                <w:rFonts w:hint="eastAsia"/>
              </w:rPr>
            </w:pPr>
            <w:r>
              <w:t>采购</w:t>
            </w:r>
          </w:p>
        </w:tc>
        <w:tc>
          <w:tcPr>
            <w:tcW w:w="6814" w:type="dxa"/>
            <w:tcMar>
              <w:top w:w="60" w:type="dxa"/>
              <w:left w:w="120" w:type="dxa"/>
              <w:bottom w:w="30" w:type="dxa"/>
              <w:right w:w="120" w:type="dxa"/>
            </w:tcMar>
          </w:tcPr>
          <w:p w14:paraId="3D3ADAF7">
            <w:r>
              <w:t>实时获取物料数据，实现零部件标准化与成本管控</w:t>
            </w:r>
          </w:p>
        </w:tc>
      </w:tr>
      <w:tr w14:paraId="54B79E4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85" w:hRule="atLeast"/>
        </w:trPr>
        <w:tc>
          <w:tcPr>
            <w:tcW w:w="2039" w:type="dxa"/>
            <w:tcMar>
              <w:top w:w="60" w:type="dxa"/>
              <w:left w:w="120" w:type="dxa"/>
              <w:bottom w:w="30" w:type="dxa"/>
              <w:right w:w="120" w:type="dxa"/>
            </w:tcMar>
          </w:tcPr>
          <w:p w14:paraId="30CC24A1">
            <w:pPr>
              <w:jc w:val="center"/>
            </w:pPr>
            <w:r>
              <w:rPr>
                <w:rFonts w:hint="eastAsia"/>
              </w:rPr>
              <w:t>财务</w:t>
            </w:r>
          </w:p>
        </w:tc>
        <w:tc>
          <w:tcPr>
            <w:tcW w:w="6814" w:type="dxa"/>
            <w:tcMar>
              <w:top w:w="60" w:type="dxa"/>
              <w:left w:w="120" w:type="dxa"/>
              <w:bottom w:w="30" w:type="dxa"/>
              <w:right w:w="120" w:type="dxa"/>
            </w:tcMar>
          </w:tcPr>
          <w:p w14:paraId="22A5FBBF">
            <w:r>
              <w:rPr>
                <w:rFonts w:hint="eastAsia"/>
              </w:rPr>
              <w:t>智能获取研发工时，高效核算成本；</w:t>
            </w:r>
          </w:p>
        </w:tc>
      </w:tr>
    </w:tbl>
    <w:p w14:paraId="6BB07947">
      <w:r>
        <w:t>总结起来，好博医疗PLM研发管理系统的四大核心价值，对公司内各业务部门的价值如下表所示：</w:t>
      </w:r>
    </w:p>
    <w:tbl>
      <w:tblPr>
        <w:tblStyle w:val="7"/>
        <w:tblW w:w="9142"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757"/>
        <w:gridCol w:w="1094"/>
        <w:gridCol w:w="958"/>
        <w:gridCol w:w="949"/>
        <w:gridCol w:w="965"/>
        <w:gridCol w:w="957"/>
        <w:gridCol w:w="1231"/>
        <w:gridCol w:w="1231"/>
      </w:tblGrid>
      <w:tr w14:paraId="71D909E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96" w:hRule="atLeast"/>
        </w:trPr>
        <w:tc>
          <w:tcPr>
            <w:tcW w:w="1757" w:type="dxa"/>
            <w:tcMar>
              <w:top w:w="60" w:type="dxa"/>
              <w:left w:w="120" w:type="dxa"/>
              <w:bottom w:w="30" w:type="dxa"/>
              <w:right w:w="120" w:type="dxa"/>
            </w:tcMar>
          </w:tcPr>
          <w:p w14:paraId="6C297733">
            <w:pPr>
              <w:jc w:val="center"/>
              <w:rPr>
                <w:rFonts w:hint="eastAsia"/>
              </w:rPr>
            </w:pPr>
            <w:r>
              <w:t>价值维度</w:t>
            </w:r>
          </w:p>
        </w:tc>
        <w:tc>
          <w:tcPr>
            <w:tcW w:w="1094" w:type="dxa"/>
            <w:tcMar>
              <w:top w:w="60" w:type="dxa"/>
              <w:left w:w="120" w:type="dxa"/>
              <w:bottom w:w="30" w:type="dxa"/>
              <w:right w:w="120" w:type="dxa"/>
            </w:tcMar>
          </w:tcPr>
          <w:p w14:paraId="0DCEDAA3">
            <w:pPr>
              <w:jc w:val="center"/>
              <w:rPr>
                <w:rFonts w:hint="eastAsia"/>
              </w:rPr>
            </w:pPr>
            <w:r>
              <w:t>高管</w:t>
            </w:r>
          </w:p>
        </w:tc>
        <w:tc>
          <w:tcPr>
            <w:tcW w:w="958" w:type="dxa"/>
            <w:tcMar>
              <w:top w:w="60" w:type="dxa"/>
              <w:left w:w="120" w:type="dxa"/>
              <w:bottom w:w="30" w:type="dxa"/>
              <w:right w:w="120" w:type="dxa"/>
            </w:tcMar>
          </w:tcPr>
          <w:p w14:paraId="53A66379">
            <w:pPr>
              <w:jc w:val="center"/>
              <w:rPr>
                <w:rFonts w:hint="eastAsia"/>
              </w:rPr>
            </w:pPr>
            <w:r>
              <w:t>研发</w:t>
            </w:r>
          </w:p>
        </w:tc>
        <w:tc>
          <w:tcPr>
            <w:tcW w:w="949" w:type="dxa"/>
            <w:tcMar>
              <w:top w:w="60" w:type="dxa"/>
              <w:left w:w="120" w:type="dxa"/>
              <w:bottom w:w="30" w:type="dxa"/>
              <w:right w:w="120" w:type="dxa"/>
            </w:tcMar>
          </w:tcPr>
          <w:p w14:paraId="31430501">
            <w:pPr>
              <w:jc w:val="center"/>
              <w:rPr>
                <w:rFonts w:hint="eastAsia"/>
              </w:rPr>
            </w:pPr>
            <w:r>
              <w:t>工艺</w:t>
            </w:r>
          </w:p>
        </w:tc>
        <w:tc>
          <w:tcPr>
            <w:tcW w:w="965" w:type="dxa"/>
            <w:tcMar>
              <w:top w:w="60" w:type="dxa"/>
              <w:left w:w="120" w:type="dxa"/>
              <w:bottom w:w="30" w:type="dxa"/>
              <w:right w:w="120" w:type="dxa"/>
            </w:tcMar>
          </w:tcPr>
          <w:p w14:paraId="7323CE5A">
            <w:pPr>
              <w:jc w:val="center"/>
              <w:rPr>
                <w:rFonts w:hint="eastAsia"/>
              </w:rPr>
            </w:pPr>
            <w:r>
              <w:t>质量</w:t>
            </w:r>
          </w:p>
        </w:tc>
        <w:tc>
          <w:tcPr>
            <w:tcW w:w="957" w:type="dxa"/>
            <w:tcMar>
              <w:top w:w="60" w:type="dxa"/>
              <w:left w:w="120" w:type="dxa"/>
              <w:bottom w:w="30" w:type="dxa"/>
              <w:right w:w="120" w:type="dxa"/>
            </w:tcMar>
          </w:tcPr>
          <w:p w14:paraId="3FB04E7A">
            <w:pPr>
              <w:jc w:val="center"/>
              <w:rPr>
                <w:rFonts w:hint="eastAsia"/>
              </w:rPr>
            </w:pPr>
            <w:r>
              <w:t>生产</w:t>
            </w:r>
          </w:p>
        </w:tc>
        <w:tc>
          <w:tcPr>
            <w:tcW w:w="1231" w:type="dxa"/>
            <w:tcMar>
              <w:top w:w="60" w:type="dxa"/>
              <w:left w:w="120" w:type="dxa"/>
              <w:bottom w:w="30" w:type="dxa"/>
              <w:right w:w="120" w:type="dxa"/>
            </w:tcMar>
          </w:tcPr>
          <w:p w14:paraId="69BF7ADB">
            <w:pPr>
              <w:jc w:val="center"/>
              <w:rPr>
                <w:rFonts w:hint="eastAsia"/>
              </w:rPr>
            </w:pPr>
            <w:r>
              <w:t>采购</w:t>
            </w:r>
          </w:p>
        </w:tc>
        <w:tc>
          <w:tcPr>
            <w:tcW w:w="1231" w:type="dxa"/>
          </w:tcPr>
          <w:p w14:paraId="670930C4">
            <w:pPr>
              <w:jc w:val="center"/>
            </w:pPr>
            <w:r>
              <w:rPr>
                <w:rFonts w:hint="eastAsia"/>
              </w:rPr>
              <w:t>财务</w:t>
            </w:r>
          </w:p>
        </w:tc>
      </w:tr>
      <w:tr w14:paraId="6F77B9D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66" w:hRule="atLeast"/>
        </w:trPr>
        <w:tc>
          <w:tcPr>
            <w:tcW w:w="1757" w:type="dxa"/>
            <w:tcMar>
              <w:top w:w="60" w:type="dxa"/>
              <w:left w:w="120" w:type="dxa"/>
              <w:bottom w:w="30" w:type="dxa"/>
              <w:right w:w="120" w:type="dxa"/>
            </w:tcMar>
          </w:tcPr>
          <w:p w14:paraId="2E5E0E21">
            <w:pPr>
              <w:rPr>
                <w:rFonts w:hint="eastAsia"/>
              </w:rPr>
            </w:pPr>
            <w:r>
              <w:t>1.提升风险管控</w:t>
            </w:r>
          </w:p>
        </w:tc>
        <w:tc>
          <w:tcPr>
            <w:tcW w:w="1094" w:type="dxa"/>
            <w:tcMar>
              <w:top w:w="60" w:type="dxa"/>
              <w:left w:w="120" w:type="dxa"/>
              <w:bottom w:w="30" w:type="dxa"/>
              <w:right w:w="120" w:type="dxa"/>
            </w:tcMar>
          </w:tcPr>
          <w:p w14:paraId="6950E3C6">
            <w:pPr>
              <w:jc w:val="center"/>
              <w:rPr>
                <w:rFonts w:hint="eastAsia"/>
              </w:rPr>
            </w:pPr>
            <w:r>
              <w:t>√</w:t>
            </w:r>
          </w:p>
        </w:tc>
        <w:tc>
          <w:tcPr>
            <w:tcW w:w="958" w:type="dxa"/>
            <w:tcMar>
              <w:top w:w="60" w:type="dxa"/>
              <w:left w:w="120" w:type="dxa"/>
              <w:bottom w:w="30" w:type="dxa"/>
              <w:right w:w="120" w:type="dxa"/>
            </w:tcMar>
          </w:tcPr>
          <w:p w14:paraId="5F3F1053">
            <w:pPr>
              <w:jc w:val="center"/>
              <w:rPr>
                <w:rFonts w:hint="eastAsia"/>
              </w:rPr>
            </w:pPr>
            <w:r>
              <w:t>√</w:t>
            </w:r>
          </w:p>
        </w:tc>
        <w:tc>
          <w:tcPr>
            <w:tcW w:w="949" w:type="dxa"/>
            <w:tcMar>
              <w:top w:w="60" w:type="dxa"/>
              <w:left w:w="120" w:type="dxa"/>
              <w:bottom w:w="30" w:type="dxa"/>
              <w:right w:w="120" w:type="dxa"/>
            </w:tcMar>
          </w:tcPr>
          <w:p w14:paraId="1162217D">
            <w:pPr>
              <w:jc w:val="center"/>
              <w:rPr>
                <w:rFonts w:hint="eastAsia"/>
              </w:rPr>
            </w:pPr>
            <w:r>
              <w:t>√</w:t>
            </w:r>
          </w:p>
        </w:tc>
        <w:tc>
          <w:tcPr>
            <w:tcW w:w="965" w:type="dxa"/>
            <w:tcMar>
              <w:top w:w="60" w:type="dxa"/>
              <w:left w:w="120" w:type="dxa"/>
              <w:bottom w:w="30" w:type="dxa"/>
              <w:right w:w="120" w:type="dxa"/>
            </w:tcMar>
          </w:tcPr>
          <w:p w14:paraId="7CAB6A02">
            <w:pPr>
              <w:jc w:val="center"/>
              <w:rPr>
                <w:rFonts w:hint="eastAsia"/>
              </w:rPr>
            </w:pPr>
            <w:r>
              <w:t>√</w:t>
            </w:r>
          </w:p>
        </w:tc>
        <w:tc>
          <w:tcPr>
            <w:tcW w:w="957" w:type="dxa"/>
            <w:tcMar>
              <w:top w:w="60" w:type="dxa"/>
              <w:left w:w="120" w:type="dxa"/>
              <w:bottom w:w="30" w:type="dxa"/>
              <w:right w:w="120" w:type="dxa"/>
            </w:tcMar>
          </w:tcPr>
          <w:p w14:paraId="570ED85E">
            <w:pPr>
              <w:jc w:val="center"/>
              <w:rPr>
                <w:rFonts w:hint="eastAsia"/>
              </w:rPr>
            </w:pPr>
            <w:r>
              <w:t>√</w:t>
            </w:r>
          </w:p>
        </w:tc>
        <w:tc>
          <w:tcPr>
            <w:tcW w:w="1231" w:type="dxa"/>
            <w:tcMar>
              <w:top w:w="60" w:type="dxa"/>
              <w:left w:w="120" w:type="dxa"/>
              <w:bottom w:w="30" w:type="dxa"/>
              <w:right w:w="120" w:type="dxa"/>
            </w:tcMar>
          </w:tcPr>
          <w:p w14:paraId="6F8F81E9">
            <w:pPr>
              <w:jc w:val="center"/>
              <w:rPr>
                <w:rFonts w:hint="eastAsia"/>
              </w:rPr>
            </w:pPr>
            <w:r>
              <w:t>√</w:t>
            </w:r>
          </w:p>
        </w:tc>
        <w:tc>
          <w:tcPr>
            <w:tcW w:w="1231" w:type="dxa"/>
          </w:tcPr>
          <w:p w14:paraId="3CD538EB">
            <w:pPr>
              <w:jc w:val="center"/>
            </w:pPr>
            <w:r>
              <w:t>√</w:t>
            </w:r>
          </w:p>
        </w:tc>
      </w:tr>
      <w:tr w14:paraId="09A86FD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70" w:hRule="atLeast"/>
        </w:trPr>
        <w:tc>
          <w:tcPr>
            <w:tcW w:w="1757" w:type="dxa"/>
            <w:tcMar>
              <w:top w:w="60" w:type="dxa"/>
              <w:left w:w="120" w:type="dxa"/>
              <w:bottom w:w="30" w:type="dxa"/>
              <w:right w:w="120" w:type="dxa"/>
            </w:tcMar>
          </w:tcPr>
          <w:p w14:paraId="5F2119B0">
            <w:pPr>
              <w:rPr>
                <w:rFonts w:hint="eastAsia"/>
              </w:rPr>
            </w:pPr>
            <w:r>
              <w:t>2.提升流程协作</w:t>
            </w:r>
          </w:p>
        </w:tc>
        <w:tc>
          <w:tcPr>
            <w:tcW w:w="1094" w:type="dxa"/>
            <w:tcMar>
              <w:top w:w="60" w:type="dxa"/>
              <w:left w:w="120" w:type="dxa"/>
              <w:bottom w:w="30" w:type="dxa"/>
              <w:right w:w="120" w:type="dxa"/>
            </w:tcMar>
          </w:tcPr>
          <w:p w14:paraId="13E351C7">
            <w:pPr>
              <w:jc w:val="center"/>
              <w:rPr>
                <w:rFonts w:hint="eastAsia"/>
              </w:rPr>
            </w:pPr>
            <w:r>
              <w:t>√</w:t>
            </w:r>
          </w:p>
        </w:tc>
        <w:tc>
          <w:tcPr>
            <w:tcW w:w="958" w:type="dxa"/>
            <w:tcMar>
              <w:top w:w="60" w:type="dxa"/>
              <w:left w:w="120" w:type="dxa"/>
              <w:bottom w:w="30" w:type="dxa"/>
              <w:right w:w="120" w:type="dxa"/>
            </w:tcMar>
          </w:tcPr>
          <w:p w14:paraId="12C4F4CB">
            <w:pPr>
              <w:jc w:val="center"/>
              <w:rPr>
                <w:rFonts w:hint="eastAsia"/>
              </w:rPr>
            </w:pPr>
            <w:r>
              <w:t>√</w:t>
            </w:r>
          </w:p>
        </w:tc>
        <w:tc>
          <w:tcPr>
            <w:tcW w:w="949" w:type="dxa"/>
            <w:tcMar>
              <w:top w:w="60" w:type="dxa"/>
              <w:left w:w="120" w:type="dxa"/>
              <w:bottom w:w="30" w:type="dxa"/>
              <w:right w:w="120" w:type="dxa"/>
            </w:tcMar>
          </w:tcPr>
          <w:p w14:paraId="28EFDDC0">
            <w:pPr>
              <w:jc w:val="center"/>
              <w:rPr>
                <w:rFonts w:hint="eastAsia"/>
              </w:rPr>
            </w:pPr>
            <w:r>
              <w:t>√</w:t>
            </w:r>
          </w:p>
        </w:tc>
        <w:tc>
          <w:tcPr>
            <w:tcW w:w="965" w:type="dxa"/>
            <w:tcMar>
              <w:top w:w="60" w:type="dxa"/>
              <w:left w:w="120" w:type="dxa"/>
              <w:bottom w:w="30" w:type="dxa"/>
              <w:right w:w="120" w:type="dxa"/>
            </w:tcMar>
          </w:tcPr>
          <w:p w14:paraId="151AC59A">
            <w:pPr>
              <w:jc w:val="center"/>
              <w:rPr>
                <w:rFonts w:hint="eastAsia"/>
              </w:rPr>
            </w:pPr>
            <w:r>
              <w:t>√</w:t>
            </w:r>
          </w:p>
        </w:tc>
        <w:tc>
          <w:tcPr>
            <w:tcW w:w="957" w:type="dxa"/>
            <w:tcMar>
              <w:top w:w="60" w:type="dxa"/>
              <w:left w:w="120" w:type="dxa"/>
              <w:bottom w:w="30" w:type="dxa"/>
              <w:right w:w="120" w:type="dxa"/>
            </w:tcMar>
          </w:tcPr>
          <w:p w14:paraId="3F1B56EC">
            <w:pPr>
              <w:jc w:val="center"/>
              <w:rPr>
                <w:rFonts w:hint="eastAsia"/>
              </w:rPr>
            </w:pPr>
            <w:r>
              <w:t>√</w:t>
            </w:r>
          </w:p>
        </w:tc>
        <w:tc>
          <w:tcPr>
            <w:tcW w:w="1231" w:type="dxa"/>
            <w:tcMar>
              <w:top w:w="60" w:type="dxa"/>
              <w:left w:w="120" w:type="dxa"/>
              <w:bottom w:w="30" w:type="dxa"/>
              <w:right w:w="120" w:type="dxa"/>
            </w:tcMar>
          </w:tcPr>
          <w:p w14:paraId="16E27B7F">
            <w:pPr>
              <w:jc w:val="center"/>
              <w:rPr>
                <w:rFonts w:hint="eastAsia"/>
              </w:rPr>
            </w:pPr>
            <w:r>
              <w:t>√</w:t>
            </w:r>
          </w:p>
        </w:tc>
        <w:tc>
          <w:tcPr>
            <w:tcW w:w="1231" w:type="dxa"/>
          </w:tcPr>
          <w:p w14:paraId="131736B3">
            <w:pPr>
              <w:jc w:val="center"/>
            </w:pPr>
            <w:r>
              <w:t>√</w:t>
            </w:r>
          </w:p>
        </w:tc>
      </w:tr>
      <w:tr w14:paraId="57E61F0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66" w:hRule="atLeast"/>
        </w:trPr>
        <w:tc>
          <w:tcPr>
            <w:tcW w:w="1757" w:type="dxa"/>
            <w:tcMar>
              <w:top w:w="60" w:type="dxa"/>
              <w:left w:w="120" w:type="dxa"/>
              <w:bottom w:w="30" w:type="dxa"/>
              <w:right w:w="120" w:type="dxa"/>
            </w:tcMar>
          </w:tcPr>
          <w:p w14:paraId="1DD811A8">
            <w:pPr>
              <w:rPr>
                <w:rFonts w:hint="eastAsia"/>
              </w:rPr>
            </w:pPr>
            <w:r>
              <w:t>3.提升决策支持</w:t>
            </w:r>
          </w:p>
        </w:tc>
        <w:tc>
          <w:tcPr>
            <w:tcW w:w="1094" w:type="dxa"/>
            <w:tcMar>
              <w:top w:w="60" w:type="dxa"/>
              <w:left w:w="120" w:type="dxa"/>
              <w:bottom w:w="30" w:type="dxa"/>
              <w:right w:w="120" w:type="dxa"/>
            </w:tcMar>
          </w:tcPr>
          <w:p w14:paraId="052A1F7E">
            <w:pPr>
              <w:jc w:val="center"/>
              <w:rPr>
                <w:rFonts w:hint="eastAsia"/>
              </w:rPr>
            </w:pPr>
            <w:r>
              <w:t>√</w:t>
            </w:r>
          </w:p>
        </w:tc>
        <w:tc>
          <w:tcPr>
            <w:tcW w:w="958" w:type="dxa"/>
            <w:tcMar>
              <w:top w:w="60" w:type="dxa"/>
              <w:left w:w="120" w:type="dxa"/>
              <w:bottom w:w="30" w:type="dxa"/>
              <w:right w:w="120" w:type="dxa"/>
            </w:tcMar>
          </w:tcPr>
          <w:p w14:paraId="3C06E6DC">
            <w:pPr>
              <w:jc w:val="center"/>
              <w:rPr>
                <w:rFonts w:hint="eastAsia"/>
              </w:rPr>
            </w:pPr>
            <w:r>
              <w:t>√</w:t>
            </w:r>
          </w:p>
        </w:tc>
        <w:tc>
          <w:tcPr>
            <w:tcW w:w="949" w:type="dxa"/>
            <w:tcMar>
              <w:top w:w="60" w:type="dxa"/>
              <w:left w:w="120" w:type="dxa"/>
              <w:bottom w:w="30" w:type="dxa"/>
              <w:right w:w="120" w:type="dxa"/>
            </w:tcMar>
          </w:tcPr>
          <w:p w14:paraId="6FD367B3">
            <w:pPr>
              <w:jc w:val="center"/>
              <w:rPr>
                <w:rFonts w:hint="eastAsia"/>
              </w:rPr>
            </w:pPr>
            <w:r>
              <w:t>√</w:t>
            </w:r>
          </w:p>
        </w:tc>
        <w:tc>
          <w:tcPr>
            <w:tcW w:w="965" w:type="dxa"/>
            <w:tcMar>
              <w:top w:w="60" w:type="dxa"/>
              <w:left w:w="120" w:type="dxa"/>
              <w:bottom w:w="30" w:type="dxa"/>
              <w:right w:w="120" w:type="dxa"/>
            </w:tcMar>
          </w:tcPr>
          <w:p w14:paraId="1C3E3FCE">
            <w:pPr>
              <w:jc w:val="center"/>
              <w:rPr>
                <w:rFonts w:hint="eastAsia"/>
              </w:rPr>
            </w:pPr>
            <w:r>
              <w:t>√</w:t>
            </w:r>
          </w:p>
        </w:tc>
        <w:tc>
          <w:tcPr>
            <w:tcW w:w="957" w:type="dxa"/>
            <w:tcMar>
              <w:top w:w="60" w:type="dxa"/>
              <w:left w:w="120" w:type="dxa"/>
              <w:bottom w:w="30" w:type="dxa"/>
              <w:right w:w="120" w:type="dxa"/>
            </w:tcMar>
          </w:tcPr>
          <w:p w14:paraId="1B228C64">
            <w:pPr>
              <w:jc w:val="center"/>
              <w:rPr>
                <w:rFonts w:hint="eastAsia"/>
              </w:rPr>
            </w:pPr>
            <w:r>
              <w:t>√</w:t>
            </w:r>
          </w:p>
        </w:tc>
        <w:tc>
          <w:tcPr>
            <w:tcW w:w="1231" w:type="dxa"/>
            <w:tcMar>
              <w:top w:w="60" w:type="dxa"/>
              <w:left w:w="120" w:type="dxa"/>
              <w:bottom w:w="30" w:type="dxa"/>
              <w:right w:w="120" w:type="dxa"/>
            </w:tcMar>
          </w:tcPr>
          <w:p w14:paraId="1770A7E8">
            <w:pPr>
              <w:jc w:val="center"/>
              <w:rPr>
                <w:rFonts w:hint="eastAsia"/>
              </w:rPr>
            </w:pPr>
            <w:r>
              <w:t>√</w:t>
            </w:r>
          </w:p>
        </w:tc>
        <w:tc>
          <w:tcPr>
            <w:tcW w:w="1231" w:type="dxa"/>
          </w:tcPr>
          <w:p w14:paraId="404C1C7A">
            <w:pPr>
              <w:jc w:val="center"/>
            </w:pPr>
            <w:r>
              <w:t>√</w:t>
            </w:r>
          </w:p>
        </w:tc>
      </w:tr>
      <w:tr w14:paraId="44FB2D3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270" w:hRule="atLeast"/>
        </w:trPr>
        <w:tc>
          <w:tcPr>
            <w:tcW w:w="1757" w:type="dxa"/>
            <w:tcMar>
              <w:top w:w="60" w:type="dxa"/>
              <w:left w:w="120" w:type="dxa"/>
              <w:bottom w:w="30" w:type="dxa"/>
              <w:right w:w="120" w:type="dxa"/>
            </w:tcMar>
          </w:tcPr>
          <w:p w14:paraId="3240849E">
            <w:pPr>
              <w:rPr>
                <w:rFonts w:hint="eastAsia"/>
              </w:rPr>
            </w:pPr>
            <w:r>
              <w:t>4.提升知识</w:t>
            </w:r>
            <w:r>
              <w:rPr>
                <w:rFonts w:hint="eastAsia"/>
              </w:rPr>
              <w:t>沉淀</w:t>
            </w:r>
          </w:p>
        </w:tc>
        <w:tc>
          <w:tcPr>
            <w:tcW w:w="1094" w:type="dxa"/>
            <w:tcMar>
              <w:top w:w="60" w:type="dxa"/>
              <w:left w:w="120" w:type="dxa"/>
              <w:bottom w:w="30" w:type="dxa"/>
              <w:right w:w="120" w:type="dxa"/>
            </w:tcMar>
          </w:tcPr>
          <w:p w14:paraId="702C62A9">
            <w:pPr>
              <w:jc w:val="center"/>
              <w:rPr>
                <w:rFonts w:hint="eastAsia"/>
              </w:rPr>
            </w:pPr>
            <w:r>
              <w:t>√</w:t>
            </w:r>
          </w:p>
        </w:tc>
        <w:tc>
          <w:tcPr>
            <w:tcW w:w="958" w:type="dxa"/>
            <w:tcMar>
              <w:top w:w="60" w:type="dxa"/>
              <w:left w:w="120" w:type="dxa"/>
              <w:bottom w:w="30" w:type="dxa"/>
              <w:right w:w="120" w:type="dxa"/>
            </w:tcMar>
          </w:tcPr>
          <w:p w14:paraId="71D1CF40">
            <w:pPr>
              <w:jc w:val="center"/>
              <w:rPr>
                <w:rFonts w:hint="eastAsia"/>
              </w:rPr>
            </w:pPr>
            <w:r>
              <w:t>√</w:t>
            </w:r>
          </w:p>
        </w:tc>
        <w:tc>
          <w:tcPr>
            <w:tcW w:w="949" w:type="dxa"/>
            <w:tcMar>
              <w:top w:w="60" w:type="dxa"/>
              <w:left w:w="120" w:type="dxa"/>
              <w:bottom w:w="30" w:type="dxa"/>
              <w:right w:w="120" w:type="dxa"/>
            </w:tcMar>
          </w:tcPr>
          <w:p w14:paraId="1908ACC9">
            <w:pPr>
              <w:jc w:val="center"/>
              <w:rPr>
                <w:rFonts w:hint="eastAsia"/>
              </w:rPr>
            </w:pPr>
            <w:r>
              <w:t>√</w:t>
            </w:r>
          </w:p>
        </w:tc>
        <w:tc>
          <w:tcPr>
            <w:tcW w:w="965" w:type="dxa"/>
            <w:tcMar>
              <w:top w:w="60" w:type="dxa"/>
              <w:left w:w="120" w:type="dxa"/>
              <w:bottom w:w="30" w:type="dxa"/>
              <w:right w:w="120" w:type="dxa"/>
            </w:tcMar>
          </w:tcPr>
          <w:p w14:paraId="7CD94919">
            <w:pPr>
              <w:jc w:val="center"/>
              <w:rPr>
                <w:rFonts w:hint="eastAsia"/>
              </w:rPr>
            </w:pPr>
            <w:r>
              <w:t>√</w:t>
            </w:r>
          </w:p>
        </w:tc>
        <w:tc>
          <w:tcPr>
            <w:tcW w:w="957" w:type="dxa"/>
            <w:tcMar>
              <w:top w:w="60" w:type="dxa"/>
              <w:left w:w="120" w:type="dxa"/>
              <w:bottom w:w="30" w:type="dxa"/>
              <w:right w:w="120" w:type="dxa"/>
            </w:tcMar>
          </w:tcPr>
          <w:p w14:paraId="36D6391F">
            <w:pPr>
              <w:jc w:val="center"/>
              <w:rPr>
                <w:rFonts w:hint="eastAsia"/>
              </w:rPr>
            </w:pPr>
            <w:r>
              <w:t>√</w:t>
            </w:r>
          </w:p>
        </w:tc>
        <w:tc>
          <w:tcPr>
            <w:tcW w:w="1231" w:type="dxa"/>
            <w:tcMar>
              <w:top w:w="60" w:type="dxa"/>
              <w:left w:w="120" w:type="dxa"/>
              <w:bottom w:w="30" w:type="dxa"/>
              <w:right w:w="120" w:type="dxa"/>
            </w:tcMar>
          </w:tcPr>
          <w:p w14:paraId="535A299C">
            <w:pPr>
              <w:jc w:val="center"/>
              <w:rPr>
                <w:rFonts w:hint="eastAsia"/>
              </w:rPr>
            </w:pPr>
            <w:r>
              <w:t>√</w:t>
            </w:r>
          </w:p>
        </w:tc>
        <w:tc>
          <w:tcPr>
            <w:tcW w:w="1231" w:type="dxa"/>
          </w:tcPr>
          <w:p w14:paraId="2291E6F3">
            <w:pPr>
              <w:jc w:val="center"/>
            </w:pPr>
            <w:r>
              <w:t>√</w:t>
            </w:r>
          </w:p>
        </w:tc>
      </w:tr>
    </w:tbl>
    <w:p w14:paraId="7ABD06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bookmarkStart w:id="29" w:name="_Toc224773472"/>
      <w:bookmarkStart w:id="30" w:name="_Toc4799"/>
    </w:p>
    <w:p w14:paraId="5DA18F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31" w:name="_Toc23844"/>
      <w:r>
        <w:rPr>
          <w:rFonts w:hint="eastAsia" w:ascii="黑体" w:hAnsi="黑体" w:eastAsia="黑体" w:cs="黑体"/>
          <w:sz w:val="32"/>
          <w:szCs w:val="32"/>
        </w:rPr>
        <w:t>二、整体方案设计</w:t>
      </w:r>
      <w:bookmarkEnd w:id="27"/>
      <w:bookmarkEnd w:id="28"/>
      <w:bookmarkEnd w:id="29"/>
      <w:bookmarkEnd w:id="30"/>
      <w:bookmarkEnd w:id="31"/>
    </w:p>
    <w:p w14:paraId="1A1132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32" w:name="_Toc224765135"/>
      <w:bookmarkStart w:id="33" w:name="_Toc224773473"/>
      <w:bookmarkStart w:id="34" w:name="_Toc12601"/>
      <w:bookmarkStart w:id="35" w:name="heading_71"/>
      <w:r>
        <w:rPr>
          <w:rFonts w:hint="eastAsia" w:ascii="方正楷体_GB2312" w:hAnsi="方正楷体_GB2312" w:eastAsia="方正楷体_GB2312" w:cs="方正楷体_GB2312"/>
          <w:b/>
          <w:bCs/>
          <w:sz w:val="32"/>
          <w:szCs w:val="32"/>
        </w:rPr>
        <w:t>（一）方案总述</w:t>
      </w:r>
      <w:bookmarkEnd w:id="32"/>
      <w:bookmarkEnd w:id="33"/>
      <w:bookmarkEnd w:id="34"/>
      <w:bookmarkEnd w:id="35"/>
    </w:p>
    <w:p w14:paraId="20D18F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本次项目以好博医疗研发管理PLM研发管理系统的建设为核心，结合公司管理要求和医疗设备行业最佳实践，进行业务梳理、流程优化，推动公司数字化研发转型，全面提升管理水平。顺应公司的战略发展，针对</w:t>
      </w:r>
      <w:r>
        <w:rPr>
          <w:rFonts w:hint="eastAsia" w:ascii="方正仿宋_GB2312" w:hAnsi="方正仿宋_GB2312" w:eastAsia="方正仿宋_GB2312" w:cs="方正仿宋_GB2312"/>
          <w:sz w:val="32"/>
          <w:szCs w:val="32"/>
          <w:lang w:eastAsia="zh-CN"/>
        </w:rPr>
        <w:t>加强</w:t>
      </w:r>
      <w:r>
        <w:rPr>
          <w:rFonts w:hint="eastAsia" w:ascii="方正仿宋_GB2312" w:hAnsi="方正仿宋_GB2312" w:eastAsia="方正仿宋_GB2312" w:cs="方正仿宋_GB2312"/>
          <w:sz w:val="32"/>
          <w:szCs w:val="32"/>
        </w:rPr>
        <w:t>公司研发业务管理，助力公司业务开拓、运营及财务管理、风险管控的需求，运用信息化手段将管理流程固化，用制度确保流程的规范运行，逐步建立科学、全面的信息化业务支撑体系，并借助PLM研发管理系统的实施构建信息流、数据流、业务流统一的信息化平台，</w:t>
      </w:r>
      <w:r>
        <w:rPr>
          <w:rFonts w:hint="eastAsia" w:ascii="方正仿宋_GB2312" w:hAnsi="方正仿宋_GB2312" w:eastAsia="方正仿宋_GB2312" w:cs="方正仿宋_GB2312"/>
          <w:sz w:val="32"/>
          <w:szCs w:val="32"/>
          <w:highlight w:val="none"/>
          <w:lang w:val="en-US" w:eastAsia="zh-CN"/>
        </w:rPr>
        <w:t>完成核心业务系统与集团管控平台集成，满足集团统一管理的信息化方针，提高系统安全等级，</w:t>
      </w:r>
      <w:r>
        <w:rPr>
          <w:rFonts w:hint="eastAsia" w:ascii="方正仿宋_GB2312" w:hAnsi="方正仿宋_GB2312" w:eastAsia="方正仿宋_GB2312" w:cs="方正仿宋_GB2312"/>
          <w:sz w:val="32"/>
          <w:szCs w:val="32"/>
        </w:rPr>
        <w:t>为公司研发业务管理、发展及经营决策提供有效支撑。</w:t>
      </w:r>
    </w:p>
    <w:p w14:paraId="2280E9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36" w:name="_Toc224765136"/>
      <w:bookmarkStart w:id="37" w:name="_Toc10010"/>
      <w:bookmarkStart w:id="38" w:name="_Toc224773474"/>
      <w:bookmarkStart w:id="39" w:name="heading_72"/>
      <w:r>
        <w:rPr>
          <w:rFonts w:hint="eastAsia" w:ascii="方正楷体_GB2312" w:hAnsi="方正楷体_GB2312" w:eastAsia="方正楷体_GB2312" w:cs="方正楷体_GB2312"/>
          <w:b/>
          <w:bCs/>
          <w:sz w:val="32"/>
          <w:szCs w:val="32"/>
        </w:rPr>
        <w:t>（二）建设目标</w:t>
      </w:r>
      <w:bookmarkEnd w:id="36"/>
      <w:bookmarkEnd w:id="37"/>
      <w:bookmarkEnd w:id="38"/>
      <w:bookmarkEnd w:id="39"/>
    </w:p>
    <w:p w14:paraId="467ACE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将公司所有产品研发项目纳入好博医疗研发管理PLM研发管理系统，实现项目全过程、全要素、全周期、全流程化管理，打通研发与生产ERP系统的数据对接，为研发赋能、为运营提效。</w:t>
      </w:r>
    </w:p>
    <w:p w14:paraId="7056B8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提升风险管控：指系统能够满足研发风控与合规的需要，在研发全流程协同的基础上，实现全程跟踪项目过程，把控风险；</w:t>
      </w:r>
    </w:p>
    <w:p w14:paraId="49EF27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提升流程协作：指研发项目全过程的业务协同，在系统中固定化、标准化、规范化，通过流程驱动实现业务过程标</w:t>
      </w:r>
      <w:r>
        <w:rPr>
          <w:rFonts w:hint="eastAsia" w:ascii="方正仿宋_GB2312" w:hAnsi="方正仿宋_GB2312" w:eastAsia="方正仿宋_GB2312" w:cs="方正仿宋_GB2312"/>
          <w:sz w:val="32"/>
          <w:szCs w:val="32"/>
          <w:lang w:eastAsia="zh-CN"/>
        </w:rPr>
        <w:t>准化</w:t>
      </w:r>
      <w:r>
        <w:rPr>
          <w:rFonts w:hint="eastAsia" w:ascii="方正仿宋_GB2312" w:hAnsi="方正仿宋_GB2312" w:eastAsia="方正仿宋_GB2312" w:cs="方正仿宋_GB2312"/>
          <w:sz w:val="32"/>
          <w:szCs w:val="32"/>
        </w:rPr>
        <w:t>、规范协同，有效降低内部沟通成本；</w:t>
      </w:r>
    </w:p>
    <w:p w14:paraId="76CC94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提升决策支持：指系统能够形成各类分析报表，以方便员工层、管理层实时掌握研发业务运行状况，优化资源配置，让决策建立在精准的数据上。</w:t>
      </w:r>
    </w:p>
    <w:p w14:paraId="215A81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yellow"/>
          <w:lang w:val="en-US" w:eastAsia="zh-CN"/>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提升知识共享：通过统一的数据平台，沉淀各个环节的数据要素，将各种文档资料、经验知识等进行收集归档和结构化整合，通过合理的权限控制，实现信息和知识的有序聚合分享。</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highlight w:val="none"/>
          <w:lang w:val="en-US" w:eastAsia="zh-CN"/>
        </w:rPr>
        <w:t xml:space="preserve"> （5）系统集成：通过与集团管控平台对接，实现PLM单点登录、代办审批，保障业务系统的安全性。</w:t>
      </w:r>
    </w:p>
    <w:p w14:paraId="4AF8D4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kern w:val="2"/>
          <w:sz w:val="32"/>
          <w:szCs w:val="32"/>
          <w:highlight w:val="yellow"/>
          <w:lang w:val="en-US" w:eastAsia="zh-CN" w:bidi="ar-SA"/>
        </w:rPr>
      </w:pPr>
      <w:r>
        <w:rPr>
          <w:rFonts w:hint="eastAsia" w:ascii="方正仿宋_GB2312" w:hAnsi="方正仿宋_GB2312" w:eastAsia="方正仿宋_GB2312" w:cs="方正仿宋_GB2312"/>
          <w:sz w:val="32"/>
          <w:szCs w:val="32"/>
          <w:highlight w:val="yellow"/>
          <w:lang w:val="en-US" w:eastAsia="zh-CN"/>
        </w:rPr>
        <w:t>（6）建立数据治理体系：</w:t>
      </w:r>
      <w:r>
        <w:rPr>
          <w:rFonts w:hint="eastAsia" w:ascii="方正仿宋_GB2312" w:hAnsi="方正仿宋_GB2312" w:eastAsia="方正仿宋_GB2312" w:cs="方正仿宋_GB2312"/>
          <w:kern w:val="2"/>
          <w:sz w:val="32"/>
          <w:szCs w:val="32"/>
          <w:highlight w:val="yellow"/>
          <w:lang w:val="en-US" w:eastAsia="zh-CN" w:bidi="ar-SA"/>
        </w:rPr>
        <w:t>构建集团级统一数据底座，实现核心数据同源治理与高质量迁移</w:t>
      </w:r>
    </w:p>
    <w:p w14:paraId="267C9358">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方正仿宋_GB2312" w:hAnsi="方正仿宋_GB2312" w:eastAsia="方正仿宋_GB2312" w:cs="方正仿宋_GB2312"/>
          <w:kern w:val="2"/>
          <w:sz w:val="32"/>
          <w:szCs w:val="32"/>
          <w:highlight w:val="yellow"/>
          <w:lang w:val="en-US" w:eastAsia="zh-CN" w:bidi="ar-SA"/>
        </w:rPr>
      </w:pPr>
      <w:r>
        <w:rPr>
          <w:rFonts w:hint="eastAsia" w:ascii="方正仿宋_GB2312" w:hAnsi="方正仿宋_GB2312" w:eastAsia="方正仿宋_GB2312" w:cs="方正仿宋_GB2312"/>
          <w:kern w:val="2"/>
          <w:sz w:val="32"/>
          <w:szCs w:val="32"/>
          <w:highlight w:val="yellow"/>
          <w:lang w:val="en-US" w:eastAsia="zh-CN" w:bidi="ar-SA"/>
        </w:rPr>
        <w:t>（7）</w:t>
      </w:r>
      <w:r>
        <w:rPr>
          <w:rFonts w:hint="eastAsia" w:ascii="方正仿宋_GB2312" w:hAnsi="方正仿宋_GB2312" w:eastAsia="方正仿宋_GB2312" w:cs="方正仿宋_GB2312"/>
          <w:sz w:val="32"/>
          <w:szCs w:val="32"/>
          <w:highlight w:val="yellow"/>
          <w:lang w:val="en-US" w:eastAsia="zh-CN"/>
        </w:rPr>
        <w:t>搭建等保级别网络安全环境：</w:t>
      </w:r>
      <w:r>
        <w:rPr>
          <w:rFonts w:hint="eastAsia" w:ascii="方正仿宋_GB2312" w:hAnsi="方正仿宋_GB2312" w:eastAsia="方正仿宋_GB2312" w:cs="方正仿宋_GB2312"/>
          <w:kern w:val="2"/>
          <w:sz w:val="32"/>
          <w:szCs w:val="32"/>
          <w:highlight w:val="yellow"/>
          <w:lang w:val="en-US" w:eastAsia="zh-CN" w:bidi="ar-SA"/>
        </w:rPr>
        <w:t>安全“三同步”建设，</w:t>
      </w:r>
    </w:p>
    <w:p w14:paraId="098A578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方正仿宋_GB2312" w:hAnsi="方正仿宋_GB2312" w:eastAsia="方正仿宋_GB2312" w:cs="方正仿宋_GB2312"/>
          <w:kern w:val="2"/>
          <w:sz w:val="32"/>
          <w:szCs w:val="32"/>
          <w:highlight w:val="yellow"/>
          <w:lang w:val="en-US" w:eastAsia="zh-CN" w:bidi="ar-SA"/>
        </w:rPr>
      </w:pPr>
      <w:r>
        <w:rPr>
          <w:rFonts w:hint="eastAsia" w:ascii="方正仿宋_GB2312" w:hAnsi="方正仿宋_GB2312" w:eastAsia="方正仿宋_GB2312" w:cs="方正仿宋_GB2312"/>
          <w:kern w:val="2"/>
          <w:sz w:val="32"/>
          <w:szCs w:val="32"/>
          <w:highlight w:val="yellow"/>
          <w:lang w:val="en-US" w:eastAsia="zh-CN" w:bidi="ar-SA"/>
        </w:rPr>
        <w:t>满足等保二级要求</w:t>
      </w:r>
    </w:p>
    <w:p w14:paraId="28237C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40" w:name="_Toc224765137"/>
      <w:bookmarkStart w:id="41" w:name="_Toc224773475"/>
      <w:bookmarkStart w:id="42" w:name="heading_73"/>
      <w:bookmarkStart w:id="43" w:name="_Toc17036"/>
      <w:r>
        <w:rPr>
          <w:rFonts w:hint="eastAsia" w:ascii="方正楷体_GB2312" w:hAnsi="方正楷体_GB2312" w:eastAsia="方正楷体_GB2312" w:cs="方正楷体_GB2312"/>
          <w:b/>
          <w:bCs/>
          <w:sz w:val="32"/>
          <w:szCs w:val="32"/>
        </w:rPr>
        <w:t>（三）业务需求</w:t>
      </w:r>
      <w:bookmarkEnd w:id="40"/>
      <w:bookmarkEnd w:id="41"/>
      <w:bookmarkEnd w:id="42"/>
      <w:bookmarkEnd w:id="43"/>
    </w:p>
    <w:p w14:paraId="4D9E11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基本功能：系统框架、基本引擎、用户管理、权限管理、用户日志管理、消息系统、审核流程管理等</w:t>
      </w:r>
    </w:p>
    <w:p w14:paraId="44173B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跟踪更改-自动跟踪更改，您可以在任务窗格中看到这些更改并访问之前的修订版</w:t>
      </w:r>
    </w:p>
    <w:p w14:paraId="4A630F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集成式文件预览-使用集成的预览功能动态预览CAD数据</w:t>
      </w:r>
    </w:p>
    <w:p w14:paraId="555B31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产品管理：产品分类管理、零部件分类管理、元器件库管理、图纸分类管理、工艺文件分类管理、技术协议分类管理、其他相关文件分类管理等；零部件与各类文件关联管理、文件版本管理等</w:t>
      </w:r>
    </w:p>
    <w:p w14:paraId="2690C8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材料明细表(BOM)支持：维护和利用材料明细表(BOM)信息，供下游使用</w:t>
      </w:r>
    </w:p>
    <w:p w14:paraId="1B559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远程访问-通过Web浏览器为内外部用户提供数据访问权限。可随时随地在任意设备上访问</w:t>
      </w:r>
    </w:p>
    <w:p w14:paraId="3C9EED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知识库管理：行业知识（如行业专利、竞争对手信息、国际法规、之类体系文件等）分类管理</w:t>
      </w:r>
    </w:p>
    <w:p w14:paraId="37F88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提供分类查找、搜索引擎查找等功能模块</w:t>
      </w:r>
    </w:p>
    <w:p w14:paraId="54D015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（9）</w:t>
      </w:r>
      <w:r>
        <w:rPr>
          <w:rFonts w:hint="eastAsia" w:ascii="方正仿宋_GB2312" w:hAnsi="方正仿宋_GB2312" w:eastAsia="方正仿宋_GB2312" w:cs="方正仿宋_GB2312"/>
          <w:sz w:val="32"/>
          <w:szCs w:val="32"/>
        </w:rPr>
        <w:t>多CAD支持-使用内置功能连接到各种第三方CAD创作工具</w:t>
      </w:r>
    </w:p>
    <w:p w14:paraId="4DC83A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rPr>
        <w:t>自动生成PDF-在工作流程变换期间将工程图文件转换为PDF</w:t>
      </w:r>
    </w:p>
    <w:p w14:paraId="157F0F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（11）</w:t>
      </w:r>
      <w:r>
        <w:rPr>
          <w:rFonts w:hint="eastAsia" w:ascii="方正仿宋_GB2312" w:hAnsi="方正仿宋_GB2312" w:eastAsia="方正仿宋_GB2312" w:cs="方正仿宋_GB2312"/>
          <w:sz w:val="32"/>
          <w:szCs w:val="32"/>
        </w:rPr>
        <w:t>项目管理-从头到尾管理项目阶段。利用用户的任务和时间表来自动追踪进度</w:t>
      </w:r>
    </w:p>
    <w:p w14:paraId="467FC4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（12）</w:t>
      </w:r>
      <w:r>
        <w:rPr>
          <w:rFonts w:hint="eastAsia" w:ascii="方正仿宋_GB2312" w:hAnsi="方正仿宋_GB2312" w:eastAsia="方正仿宋_GB2312" w:cs="方正仿宋_GB2312"/>
          <w:sz w:val="32"/>
          <w:szCs w:val="32"/>
        </w:rPr>
        <w:t>缺陷管理-支持研发各阶段缺陷录入，可按严重程度、缺陷类型、所属项目进行分类标注，关联对应的设计文件与项目任务。</w:t>
      </w:r>
    </w:p>
    <w:p w14:paraId="2EB498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（13）</w:t>
      </w:r>
      <w:r>
        <w:rPr>
          <w:rFonts w:hint="eastAsia" w:ascii="方正仿宋_GB2312" w:hAnsi="方正仿宋_GB2312" w:eastAsia="方正仿宋_GB2312" w:cs="方正仿宋_GB2312"/>
          <w:sz w:val="32"/>
          <w:szCs w:val="32"/>
        </w:rPr>
        <w:t>流程管理-配置业务流程，如工程变更请求(ECR)、传输和审批</w:t>
      </w:r>
    </w:p>
    <w:p w14:paraId="615476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（14）</w:t>
      </w:r>
      <w:r>
        <w:rPr>
          <w:rFonts w:hint="eastAsia" w:ascii="方正仿宋_GB2312" w:hAnsi="方正仿宋_GB2312" w:eastAsia="方正仿宋_GB2312" w:cs="方正仿宋_GB2312"/>
          <w:sz w:val="32"/>
          <w:szCs w:val="32"/>
        </w:rPr>
        <w:t>品项管理­使用记录和文件来创建、编辑和比较完整的BOM</w:t>
      </w:r>
    </w:p>
    <w:p w14:paraId="004F55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（15）</w:t>
      </w:r>
      <w:r>
        <w:rPr>
          <w:rFonts w:hint="eastAsia" w:ascii="方正仿宋_GB2312" w:hAnsi="方正仿宋_GB2312" w:eastAsia="方正仿宋_GB2312" w:cs="方正仿宋_GB2312"/>
          <w:sz w:val="32"/>
          <w:szCs w:val="32"/>
        </w:rPr>
        <w:t>仪表板和报告-创建交互式图形仪表板以显示关键信息。通过电子邮件附件发送报告</w:t>
      </w:r>
    </w:p>
    <w:p w14:paraId="7E86D1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（16）</w:t>
      </w:r>
      <w:r>
        <w:rPr>
          <w:rFonts w:hint="eastAsia" w:ascii="方正仿宋_GB2312" w:hAnsi="方正仿宋_GB2312" w:eastAsia="方正仿宋_GB2312" w:cs="方正仿宋_GB2312"/>
          <w:sz w:val="32"/>
          <w:szCs w:val="32"/>
        </w:rPr>
        <w:t>工艺管理解决方案：PBOM管理、工艺路线管理、CAPP管理、工装库、设备库、原材料库管理、材料消耗定额管理等</w:t>
      </w:r>
    </w:p>
    <w:p w14:paraId="15161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（17）</w:t>
      </w:r>
      <w:r>
        <w:rPr>
          <w:rFonts w:hint="eastAsia" w:ascii="方正仿宋_GB2312" w:hAnsi="方正仿宋_GB2312" w:eastAsia="方正仿宋_GB2312" w:cs="方正仿宋_GB2312"/>
          <w:sz w:val="32"/>
          <w:szCs w:val="32"/>
        </w:rPr>
        <w:t>工艺人员任务分配及流程执行管控，工艺数据动态管理，工艺数据统计汇总及报表输出功能</w:t>
      </w:r>
    </w:p>
    <w:p w14:paraId="0AD2FA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（18）</w:t>
      </w:r>
      <w:r>
        <w:rPr>
          <w:rFonts w:hint="eastAsia" w:ascii="方正仿宋_GB2312" w:hAnsi="方正仿宋_GB2312" w:eastAsia="方正仿宋_GB2312" w:cs="方正仿宋_GB2312"/>
          <w:sz w:val="32"/>
          <w:szCs w:val="32"/>
        </w:rPr>
        <w:t>项目研发过程中人员工时统计和输出，便于企业财务维度核算研发成本；</w:t>
      </w:r>
    </w:p>
    <w:p w14:paraId="5AEE3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（19）</w:t>
      </w:r>
      <w:r>
        <w:rPr>
          <w:rFonts w:hint="eastAsia" w:ascii="方正仿宋_GB2312" w:hAnsi="方正仿宋_GB2312" w:eastAsia="方正仿宋_GB2312" w:cs="方正仿宋_GB2312"/>
          <w:sz w:val="32"/>
          <w:szCs w:val="32"/>
        </w:rPr>
        <w:t>ERP集成接口：实现与现有或后续实施的ERP系统深入集成，具体内容及格式要求需要按公司要求由实施人员灵活配置实现。</w:t>
      </w:r>
    </w:p>
    <w:p w14:paraId="7F909A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kern w:val="2"/>
          <w:sz w:val="32"/>
          <w:szCs w:val="32"/>
          <w:highlight w:val="none"/>
          <w:lang w:val="en-US" w:eastAsia="zh-CN" w:bidi="ar-SA"/>
        </w:rPr>
      </w:pP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20</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lang w:val="en-US" w:eastAsia="zh-CN"/>
        </w:rPr>
        <w:t>集团管控平台集成：</w:t>
      </w:r>
      <w:r>
        <w:rPr>
          <w:rFonts w:hint="eastAsia" w:ascii="方正仿宋_GB2312" w:hAnsi="方正仿宋_GB2312" w:eastAsia="方正仿宋_GB2312" w:cs="方正仿宋_GB2312"/>
          <w:b w:val="0"/>
          <w:bCs w:val="0"/>
          <w:kern w:val="2"/>
          <w:sz w:val="32"/>
          <w:szCs w:val="32"/>
          <w:highlight w:val="none"/>
          <w:lang w:val="en-US" w:eastAsia="zh-CN" w:bidi="ar-SA"/>
        </w:rPr>
        <w:t>实现“一次认证，全网通行”，</w:t>
      </w:r>
      <w:r>
        <w:rPr>
          <w:rFonts w:hint="default" w:ascii="方正仿宋_GB2312" w:hAnsi="方正仿宋_GB2312" w:eastAsia="方正仿宋_GB2312" w:cs="方正仿宋_GB2312"/>
          <w:kern w:val="2"/>
          <w:sz w:val="32"/>
          <w:szCs w:val="32"/>
          <w:highlight w:val="none"/>
          <w:lang w:val="en-US" w:eastAsia="zh-CN" w:bidi="ar-SA"/>
        </w:rPr>
        <w:t>彻底</w:t>
      </w:r>
      <w:r>
        <w:rPr>
          <w:rFonts w:hint="eastAsia" w:ascii="仿宋" w:hAnsi="仿宋" w:eastAsia="仿宋" w:cs="仿宋"/>
          <w:kern w:val="2"/>
          <w:sz w:val="32"/>
          <w:szCs w:val="32"/>
          <w:highlight w:val="none"/>
          <w:lang w:val="en-US" w:eastAsia="zh-CN" w:bidi="ar-SA"/>
        </w:rPr>
        <w:t>杜绝“人已离职</w:t>
      </w:r>
      <w:r>
        <w:rPr>
          <w:rFonts w:hint="default" w:ascii="方正仿宋_GB2312" w:hAnsi="方正仿宋_GB2312" w:eastAsia="方正仿宋_GB2312" w:cs="方正仿宋_GB2312"/>
          <w:kern w:val="2"/>
          <w:sz w:val="32"/>
          <w:szCs w:val="32"/>
          <w:highlight w:val="none"/>
          <w:lang w:val="en-US" w:eastAsia="zh-CN" w:bidi="ar-SA"/>
        </w:rPr>
        <w:t>，PLM账号仍可登录”的安全漏洞。</w:t>
      </w:r>
    </w:p>
    <w:p w14:paraId="64FCD1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kern w:val="2"/>
          <w:sz w:val="32"/>
          <w:szCs w:val="32"/>
          <w:highlight w:val="yellow"/>
          <w:lang w:val="en-US" w:eastAsia="zh-CN" w:bidi="ar-SA"/>
        </w:rPr>
      </w:pPr>
      <w:r>
        <w:rPr>
          <w:rFonts w:hint="eastAsia" w:ascii="方正仿宋_GB2312" w:hAnsi="方正仿宋_GB2312" w:eastAsia="方正仿宋_GB2312" w:cs="方正仿宋_GB2312"/>
          <w:kern w:val="2"/>
          <w:sz w:val="32"/>
          <w:szCs w:val="32"/>
          <w:highlight w:val="yellow"/>
          <w:lang w:val="en-US" w:eastAsia="zh-CN" w:bidi="ar-SA"/>
        </w:rPr>
        <w:t>（21）</w:t>
      </w:r>
      <w:r>
        <w:rPr>
          <w:rFonts w:hint="eastAsia" w:ascii="方正仿宋_GB2312" w:hAnsi="方正仿宋_GB2312" w:eastAsia="方正仿宋_GB2312" w:cs="方正仿宋_GB2312"/>
          <w:sz w:val="32"/>
          <w:szCs w:val="32"/>
          <w:highlight w:val="yellow"/>
          <w:lang w:val="en-US" w:eastAsia="zh-CN"/>
        </w:rPr>
        <w:t>建立数据治理体系：</w:t>
      </w:r>
      <w:r>
        <w:rPr>
          <w:rFonts w:hint="eastAsia" w:ascii="方正仿宋_GB2312" w:hAnsi="方正仿宋_GB2312" w:eastAsia="方正仿宋_GB2312" w:cs="方正仿宋_GB2312"/>
          <w:kern w:val="2"/>
          <w:sz w:val="32"/>
          <w:szCs w:val="32"/>
          <w:highlight w:val="yellow"/>
          <w:lang w:val="en-US" w:eastAsia="zh-CN" w:bidi="ar-SA"/>
        </w:rPr>
        <w:t>确保组织架构、岗位信息、员工主数据实时同步，从源头保证数据一致性，制定并发布PLM系统内的产品分类标准、项目编码规则、关键属性定义等统一规范，形成企业级产品/项目数据字典，为后续数据分析与共享奠定基础。</w:t>
      </w:r>
    </w:p>
    <w:p w14:paraId="6C603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bookmarkStart w:id="44" w:name="_Toc224773476"/>
      <w:bookmarkStart w:id="45" w:name="_Toc29357"/>
      <w:bookmarkStart w:id="46" w:name="heading_74"/>
      <w:bookmarkStart w:id="47" w:name="_Toc224765138"/>
    </w:p>
    <w:p w14:paraId="7FF43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46467B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3C9801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459D3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48" w:name="_Toc16036"/>
      <w:r>
        <w:rPr>
          <w:rFonts w:hint="eastAsia" w:ascii="黑体" w:hAnsi="黑体" w:eastAsia="黑体" w:cs="黑体"/>
          <w:sz w:val="32"/>
          <w:szCs w:val="32"/>
        </w:rPr>
        <w:t>三、整体解决方案</w:t>
      </w:r>
      <w:bookmarkEnd w:id="44"/>
      <w:bookmarkEnd w:id="45"/>
      <w:bookmarkEnd w:id="46"/>
      <w:bookmarkEnd w:id="47"/>
      <w:bookmarkEnd w:id="48"/>
    </w:p>
    <w:p w14:paraId="31E170B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49" w:name="_Toc19968"/>
      <w:bookmarkStart w:id="50" w:name="heading_75"/>
      <w:bookmarkStart w:id="51" w:name="_Toc224773477"/>
      <w:bookmarkStart w:id="52" w:name="_Toc224765139"/>
      <w:r>
        <w:rPr>
          <w:rFonts w:hint="eastAsia" w:ascii="方正楷体_GB2312" w:hAnsi="方正楷体_GB2312" w:eastAsia="方正楷体_GB2312" w:cs="方正楷体_GB2312"/>
          <w:b/>
          <w:bCs/>
          <w:sz w:val="32"/>
          <w:szCs w:val="32"/>
        </w:rPr>
        <w:t>（一）研发平台规划步骤</w:t>
      </w:r>
      <w:bookmarkEnd w:id="49"/>
      <w:bookmarkEnd w:id="50"/>
      <w:bookmarkEnd w:id="51"/>
      <w:bookmarkEnd w:id="52"/>
    </w:p>
    <w:p w14:paraId="3BE39619">
      <w:pPr>
        <w:spacing w:before="120" w:after="120" w:line="288" w:lineRule="auto"/>
        <w:rPr>
          <w:rFonts w:ascii="Arial" w:hAnsi="Arial" w:eastAsia="等线" w:cs="Arial"/>
        </w:rPr>
      </w:pPr>
      <w:bookmarkStart w:id="53" w:name="heading_76"/>
      <w:bookmarkStart w:id="54" w:name="_Toc224765140"/>
      <w:r>
        <w:drawing>
          <wp:inline distT="0" distB="0" distL="0" distR="0">
            <wp:extent cx="5253355" cy="3495675"/>
            <wp:effectExtent l="6350" t="0" r="17145" b="0"/>
            <wp:docPr id="401019507"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32EA8BED">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textAlignment w:val="auto"/>
        <w:rPr>
          <w:b/>
          <w:sz w:val="30"/>
        </w:rPr>
      </w:pPr>
      <w:r>
        <w:rPr>
          <w:rFonts w:hint="eastAsia" w:ascii="方正仿宋_GB2312" w:hAnsi="方正仿宋_GB2312" w:eastAsia="方正仿宋_GB2312" w:cs="方正仿宋_GB2312"/>
          <w:sz w:val="32"/>
          <w:szCs w:val="32"/>
        </w:rPr>
        <w:t>规划“好博公司数智化研发管理平台”功能涉及面广，为了便于实施和控制风险，我们采用“整体规划、分步实施”的原则来进行，如下是整体方案规划：2026年完成一阶段项目实施，</w:t>
      </w:r>
      <w:r>
        <w:rPr>
          <w:rFonts w:hint="eastAsia" w:ascii="方正仿宋_GB2312" w:hAnsi="方正仿宋_GB2312" w:eastAsia="方正仿宋_GB2312" w:cs="方正仿宋_GB2312"/>
          <w:sz w:val="32"/>
          <w:szCs w:val="32"/>
          <w:lang w:eastAsia="zh-CN"/>
        </w:rPr>
        <w:t>分两期进行</w:t>
      </w:r>
      <w:r>
        <w:rPr>
          <w:rFonts w:hint="eastAsia" w:ascii="方正仿宋_GB2312" w:hAnsi="方正仿宋_GB2312" w:eastAsia="方正仿宋_GB2312" w:cs="方正仿宋_GB2312"/>
          <w:sz w:val="32"/>
          <w:szCs w:val="32"/>
        </w:rPr>
        <w:t>：一期重点解决研发内部管理的瓶颈，实现研发管理规范化和标准化、研发协同、研发与生产等跨部门之间的</w:t>
      </w:r>
      <w:r>
        <w:rPr>
          <w:rFonts w:hint="eastAsia" w:ascii="方正仿宋_GB2312" w:hAnsi="方正仿宋_GB2312" w:eastAsia="方正仿宋_GB2312" w:cs="方正仿宋_GB2312"/>
          <w:sz w:val="32"/>
          <w:szCs w:val="32"/>
          <w:lang w:eastAsia="zh-CN"/>
        </w:rPr>
        <w:t>协同</w:t>
      </w:r>
      <w:r>
        <w:rPr>
          <w:rFonts w:hint="eastAsia" w:ascii="方正仿宋_GB2312" w:hAnsi="方正仿宋_GB2312" w:eastAsia="方正仿宋_GB2312" w:cs="方正仿宋_GB2312"/>
          <w:sz w:val="32"/>
          <w:szCs w:val="32"/>
        </w:rPr>
        <w:t>继续深化和扩展系统应用，打通企业内部生态链，让数据产生价值。二期根据项目进展及公司要求，完成研发内部生态链建设，搭建属于好博自有统一</w:t>
      </w:r>
      <w:r>
        <w:rPr>
          <w:rFonts w:hint="eastAsia" w:ascii="方正仿宋_GB2312" w:hAnsi="方正仿宋_GB2312" w:eastAsia="方正仿宋_GB2312" w:cs="方正仿宋_GB2312"/>
          <w:sz w:val="32"/>
          <w:szCs w:val="32"/>
          <w:lang w:eastAsia="zh-CN"/>
        </w:rPr>
        <w:t>的</w:t>
      </w:r>
      <w:r>
        <w:rPr>
          <w:rFonts w:hint="eastAsia" w:ascii="方正仿宋_GB2312" w:hAnsi="方正仿宋_GB2312" w:eastAsia="方正仿宋_GB2312" w:cs="方正仿宋_GB2312"/>
          <w:sz w:val="32"/>
          <w:szCs w:val="32"/>
        </w:rPr>
        <w:t>结构设计、结构与电气一体化设计及研发设计可行性分析与验证，缩短产品研发周期，加快产品生产与上市时间，适应新时代背景下的快速迭代，响应市场。</w:t>
      </w:r>
    </w:p>
    <w:bookmarkEnd w:id="53"/>
    <w:bookmarkEnd w:id="54"/>
    <w:p w14:paraId="564664CC">
      <w:pPr>
        <w:spacing w:before="300" w:after="120" w:line="288" w:lineRule="auto"/>
        <w:ind w:firstLine="602" w:firstLineChars="200"/>
        <w:outlineLvl w:val="1"/>
        <w:rPr>
          <w:rFonts w:hint="eastAsia" w:ascii="方正楷体_GB2312" w:hAnsi="方正楷体_GB2312" w:eastAsia="方正楷体_GB2312" w:cs="方正楷体_GB2312"/>
          <w:b/>
          <w:sz w:val="30"/>
        </w:rPr>
      </w:pPr>
      <w:bookmarkStart w:id="55" w:name="_Toc2098"/>
      <w:bookmarkStart w:id="56" w:name="_Toc224773478"/>
      <w:r>
        <w:rPr>
          <w:rFonts w:hint="eastAsia" w:ascii="方正楷体_GB2312" w:hAnsi="方正楷体_GB2312" w:eastAsia="方正楷体_GB2312" w:cs="方正楷体_GB2312"/>
          <w:b/>
          <w:sz w:val="30"/>
        </w:rPr>
        <w:t>（</w:t>
      </w:r>
      <w:r>
        <w:rPr>
          <w:rFonts w:hint="eastAsia" w:ascii="方正楷体_GB2312" w:hAnsi="方正楷体_GB2312" w:eastAsia="方正楷体_GB2312" w:cs="方正楷体_GB2312"/>
          <w:b/>
          <w:sz w:val="30"/>
          <w:lang w:val="en-US" w:eastAsia="zh-CN"/>
        </w:rPr>
        <w:t>二</w:t>
      </w:r>
      <w:r>
        <w:rPr>
          <w:rFonts w:hint="eastAsia" w:ascii="方正楷体_GB2312" w:hAnsi="方正楷体_GB2312" w:eastAsia="方正楷体_GB2312" w:cs="方正楷体_GB2312"/>
          <w:b/>
          <w:sz w:val="30"/>
        </w:rPr>
        <w:t>）项目管理模块与功能</w:t>
      </w:r>
      <w:bookmarkEnd w:id="55"/>
      <w:bookmarkEnd w:id="56"/>
    </w:p>
    <w:p w14:paraId="2E445CE2">
      <w:pPr>
        <w:rPr>
          <w:rFonts w:hint="eastAsia"/>
        </w:rPr>
      </w:pPr>
      <w:r>
        <w:rPr>
          <w:rFonts w:hint="eastAsia"/>
        </w:rPr>
        <w:drawing>
          <wp:inline distT="0" distB="0" distL="0" distR="0">
            <wp:extent cx="5684520" cy="2879725"/>
            <wp:effectExtent l="0" t="0" r="11430" b="15875"/>
            <wp:docPr id="18208429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42975" name="图片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2040" cy="2883372"/>
                    </a:xfrm>
                    <a:prstGeom prst="rect">
                      <a:avLst/>
                    </a:prstGeom>
                  </pic:spPr>
                </pic:pic>
              </a:graphicData>
            </a:graphic>
          </wp:inline>
        </w:drawing>
      </w:r>
    </w:p>
    <w:p w14:paraId="1132EB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57" w:name="_Toc225364426"/>
      <w:bookmarkStart w:id="58" w:name="heading_77"/>
      <w:bookmarkStart w:id="59" w:name="_Toc224808218"/>
      <w:bookmarkStart w:id="60" w:name="_Toc1848"/>
      <w:bookmarkStart w:id="61" w:name="_Toc224765141"/>
      <w:r>
        <w:rPr>
          <w:rFonts w:hint="eastAsia" w:ascii="方正楷体_GB2312" w:hAnsi="方正楷体_GB2312" w:eastAsia="方正楷体_GB2312" w:cs="方正楷体_GB2312"/>
          <w:b/>
          <w:bCs/>
          <w:sz w:val="32"/>
          <w:szCs w:val="32"/>
        </w:rPr>
        <w:t>（三）系统集成</w:t>
      </w:r>
      <w:bookmarkEnd w:id="57"/>
      <w:bookmarkEnd w:id="58"/>
      <w:bookmarkEnd w:id="59"/>
      <w:bookmarkEnd w:id="60"/>
      <w:bookmarkEnd w:id="61"/>
    </w:p>
    <w:p w14:paraId="508E69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主要目的：遵循集团及好博公司的财务数据标准，确保数据口径统一、核算准确。</w:t>
      </w:r>
    </w:p>
    <w:p w14:paraId="4ED917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bookmarkStart w:id="62" w:name="_Toc225364427"/>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CAD设计软件集成</w:t>
      </w:r>
      <w:bookmarkEnd w:id="62"/>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实现与SolidWorks等主流CAD软件的无缝集成，支持图纸在线预览、版本管理、属性同步、批量导入导出。</w:t>
      </w:r>
    </w:p>
    <w:p w14:paraId="15CF1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bookmarkStart w:id="63" w:name="_Toc225364428"/>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ERP系统集成</w:t>
      </w:r>
      <w:bookmarkEnd w:id="63"/>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实现PLM系统与ERP系统的BOM数据、物料数据、供应商数据双向同步，确保设计数据与生产、采购数据一致。</w:t>
      </w:r>
    </w:p>
    <w:p w14:paraId="7B8A3D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4.集团管控平台集成：实现单点登录和业务流程代办审批，</w:t>
      </w:r>
      <w:r>
        <w:rPr>
          <w:rFonts w:hint="eastAsia" w:ascii="方正仿宋_GB2312" w:hAnsi="方正仿宋_GB2312" w:eastAsia="方正仿宋_GB2312" w:cs="方正仿宋_GB2312"/>
          <w:b w:val="0"/>
          <w:bCs w:val="0"/>
          <w:kern w:val="2"/>
          <w:sz w:val="32"/>
          <w:szCs w:val="32"/>
          <w:highlight w:val="none"/>
          <w:lang w:val="en-US" w:eastAsia="zh-CN" w:bidi="ar-SA"/>
        </w:rPr>
        <w:t>实现“一次认证，全网通行”。</w:t>
      </w:r>
    </w:p>
    <w:p w14:paraId="6D919A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该集成主要实现：</w:t>
      </w:r>
    </w:p>
    <w:p w14:paraId="05D25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把物料和机械BOM通过WebService发送给金蝶ERP</w:t>
      </w:r>
    </w:p>
    <w:p w14:paraId="60D1D9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基于项目报表集中展现项目进度、项目人工工时、任务状态等，可按财务要求实现系统数据传输和上报</w:t>
      </w:r>
    </w:p>
    <w:p w14:paraId="685BA3D9">
      <w:pPr>
        <w:rPr>
          <w:rFonts w:hint="eastAsia"/>
        </w:rPr>
      </w:pPr>
      <w:r>
        <w:rPr>
          <w:highlight w:val="yellow"/>
        </w:rPr>
        <w:drawing>
          <wp:inline distT="0" distB="0" distL="0" distR="0">
            <wp:extent cx="5425440" cy="2290445"/>
            <wp:effectExtent l="9525" t="9525" r="13335" b="2413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1"/>
                    <a:stretch>
                      <a:fillRect/>
                    </a:stretch>
                  </pic:blipFill>
                  <pic:spPr>
                    <a:xfrm>
                      <a:off x="0" y="0"/>
                      <a:ext cx="5433499" cy="2294157"/>
                    </a:xfrm>
                    <a:prstGeom prst="rect">
                      <a:avLst/>
                    </a:prstGeom>
                    <a:ln>
                      <a:solidFill>
                        <a:schemeClr val="accent1"/>
                      </a:solidFill>
                    </a:ln>
                  </pic:spPr>
                </pic:pic>
              </a:graphicData>
            </a:graphic>
          </wp:inline>
        </w:drawing>
      </w:r>
    </w:p>
    <w:p w14:paraId="650073EE">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textAlignment w:val="auto"/>
        <w:rPr>
          <w:rFonts w:hint="eastAsia" w:ascii="方正仿宋_GB2312" w:hAnsi="方正仿宋_GB2312" w:eastAsia="方正仿宋_GB2312" w:cs="方正仿宋_GB2312"/>
          <w:sz w:val="32"/>
          <w:szCs w:val="32"/>
          <w:highlight w:val="none"/>
          <w:lang w:eastAsia="zh-CN"/>
        </w:rPr>
      </w:pPr>
      <w:bookmarkStart w:id="64" w:name="_Toc225364429"/>
      <w:r>
        <w:rPr>
          <w:rFonts w:hint="eastAsia" w:ascii="方正仿宋_GB2312" w:hAnsi="方正仿宋_GB2312" w:eastAsia="方正仿宋_GB2312" w:cs="方正仿宋_GB2312"/>
          <w:sz w:val="32"/>
          <w:szCs w:val="32"/>
          <w:highlight w:val="none"/>
          <w:lang w:val="en-US" w:eastAsia="zh-CN"/>
        </w:rPr>
        <w:t>集团管控平台</w:t>
      </w:r>
      <w:r>
        <w:rPr>
          <w:rFonts w:hint="eastAsia" w:ascii="方正仿宋_GB2312" w:hAnsi="方正仿宋_GB2312" w:eastAsia="方正仿宋_GB2312" w:cs="方正仿宋_GB2312"/>
          <w:sz w:val="32"/>
          <w:szCs w:val="32"/>
          <w:highlight w:val="none"/>
        </w:rPr>
        <w:t>集成</w:t>
      </w:r>
      <w:bookmarkEnd w:id="64"/>
      <w:bookmarkStart w:id="65" w:name="_Toc36570015"/>
      <w:r>
        <w:rPr>
          <w:rFonts w:hint="eastAsia" w:ascii="方正仿宋_GB2312" w:hAnsi="方正仿宋_GB2312" w:eastAsia="方正仿宋_GB2312" w:cs="方正仿宋_GB2312"/>
          <w:sz w:val="32"/>
          <w:szCs w:val="32"/>
          <w:highlight w:val="none"/>
        </w:rPr>
        <w:t>主要实现了：PDM系统中的更改通知，在完成审核后，可以通过与</w:t>
      </w:r>
      <w:r>
        <w:rPr>
          <w:rFonts w:hint="eastAsia" w:ascii="方正仿宋_GB2312" w:hAnsi="方正仿宋_GB2312" w:eastAsia="方正仿宋_GB2312" w:cs="方正仿宋_GB2312"/>
          <w:sz w:val="32"/>
          <w:szCs w:val="32"/>
          <w:highlight w:val="none"/>
          <w:lang w:val="en-US" w:eastAsia="zh-CN"/>
        </w:rPr>
        <w:t>集团管控平台</w:t>
      </w:r>
      <w:r>
        <w:rPr>
          <w:rFonts w:hint="eastAsia" w:ascii="方正仿宋_GB2312" w:hAnsi="方正仿宋_GB2312" w:eastAsia="方正仿宋_GB2312" w:cs="方正仿宋_GB2312"/>
          <w:sz w:val="32"/>
          <w:szCs w:val="32"/>
          <w:highlight w:val="none"/>
        </w:rPr>
        <w:t>的集成，发送给所有涉及的部门</w:t>
      </w:r>
      <w:r>
        <w:rPr>
          <w:rFonts w:hint="eastAsia" w:ascii="方正仿宋_GB2312" w:hAnsi="方正仿宋_GB2312" w:eastAsia="方正仿宋_GB2312" w:cs="方正仿宋_GB2312"/>
          <w:sz w:val="32"/>
          <w:szCs w:val="32"/>
          <w:highlight w:val="none"/>
          <w:lang w:eastAsia="zh-CN"/>
        </w:rPr>
        <w:t>。</w:t>
      </w:r>
    </w:p>
    <w:p w14:paraId="6961FD06">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textAlignment w:val="auto"/>
        <w:rPr>
          <w:rFonts w:hint="eastAsia" w:ascii="方正仿宋_GB2312" w:hAnsi="方正仿宋_GB2312" w:eastAsia="方正仿宋_GB2312" w:cs="方正仿宋_GB2312"/>
          <w:sz w:val="32"/>
          <w:szCs w:val="32"/>
          <w:highlight w:val="none"/>
          <w:lang w:eastAsia="zh-CN"/>
        </w:rPr>
      </w:pPr>
    </w:p>
    <w:p w14:paraId="5D6C65E6">
      <w:pPr>
        <w:jc w:val="center"/>
        <w:rPr>
          <w:rFonts w:hint="eastAsia"/>
          <w:highlight w:val="yellow"/>
        </w:rPr>
      </w:pPr>
      <w:r>
        <w:rPr>
          <w:highlight w:val="yellow"/>
          <w14:ligatures w14:val="none"/>
        </w:rPr>
        <w:drawing>
          <wp:inline distT="0" distB="0" distL="0" distR="0">
            <wp:extent cx="4200525" cy="2108200"/>
            <wp:effectExtent l="9525" t="9525" r="19050" b="1587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2"/>
                    <a:stretch>
                      <a:fillRect/>
                    </a:stretch>
                  </pic:blipFill>
                  <pic:spPr>
                    <a:xfrm>
                      <a:off x="0" y="0"/>
                      <a:ext cx="4204008" cy="2110279"/>
                    </a:xfrm>
                    <a:prstGeom prst="rect">
                      <a:avLst/>
                    </a:prstGeom>
                    <a:ln>
                      <a:solidFill>
                        <a:schemeClr val="accent1"/>
                      </a:solidFill>
                    </a:ln>
                  </pic:spPr>
                </pic:pic>
              </a:graphicData>
            </a:graphic>
          </wp:inline>
        </w:drawing>
      </w:r>
    </w:p>
    <w:p w14:paraId="03691417">
      <w:pPr>
        <w:keepNext w:val="0"/>
        <w:keepLines w:val="0"/>
        <w:pageBreakBefore w:val="0"/>
        <w:widowControl w:val="0"/>
        <w:kinsoku/>
        <w:wordWrap/>
        <w:overflowPunct/>
        <w:topLinePunct w:val="0"/>
        <w:autoSpaceDE/>
        <w:autoSpaceDN/>
        <w:bidi w:val="0"/>
        <w:adjustRightInd/>
        <w:snapToGrid/>
        <w:spacing w:before="120" w:after="120" w:line="560" w:lineRule="exact"/>
        <w:ind w:firstLine="640" w:firstLineChars="200"/>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t xml:space="preserve">实现技术： </w:t>
      </w:r>
      <w:r>
        <w:rPr>
          <w:rFonts w:hint="eastAsia" w:ascii="方正仿宋_GB2312" w:hAnsi="方正仿宋_GB2312" w:eastAsia="方正仿宋_GB2312" w:cs="方正仿宋_GB2312"/>
          <w:sz w:val="32"/>
          <w:szCs w:val="32"/>
          <w:highlight w:val="none"/>
          <w:lang w:val="en-US" w:eastAsia="zh-CN"/>
        </w:rPr>
        <w:t>集团管控平台对接PDM接口，实现平台在线待办审批动作。</w:t>
      </w:r>
    </w:p>
    <w:p w14:paraId="71346B8D">
      <w:pPr>
        <w:jc w:val="center"/>
        <w:rPr>
          <w:rFonts w:hint="eastAsia"/>
          <w:highlight w:val="yellow"/>
        </w:rPr>
      </w:pPr>
      <w:r>
        <w:rPr>
          <w:highlight w:val="yellow"/>
        </w:rPr>
        <w:drawing>
          <wp:inline distT="0" distB="0" distL="0" distR="0">
            <wp:extent cx="5243195" cy="2680970"/>
            <wp:effectExtent l="9525" t="9525" r="24130" b="1460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49318" cy="2684205"/>
                    </a:xfrm>
                    <a:prstGeom prst="rect">
                      <a:avLst/>
                    </a:prstGeom>
                    <a:ln>
                      <a:solidFill>
                        <a:schemeClr val="accent1"/>
                      </a:solidFill>
                    </a:ln>
                  </pic:spPr>
                </pic:pic>
              </a:graphicData>
            </a:graphic>
          </wp:inline>
        </w:drawing>
      </w:r>
    </w:p>
    <w:bookmarkEnd w:id="65"/>
    <w:p w14:paraId="03E6F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达索SOLIDWORKS为主流制造业提供的是平台化软件，在自身系统的扩展和异构系统集成方面做了很多工作，提供了大量应用程序接口，以满足合作伙伴、客户对其进行二次开发；目前支持VBA、VB.NET、Visual C#、Visual C++ 6.0及Visual C++/CLI等编程语言。</w:t>
      </w:r>
    </w:p>
    <w:p w14:paraId="0CF447A1">
      <w:pPr>
        <w:pBdr>
          <w:bottom w:val="single" w:color="DEE0E3" w:sz="2" w:space="0"/>
          <w:between w:val="single" w:color="DEE0E3" w:sz="2" w:space="0"/>
        </w:pBdr>
        <w:spacing w:before="120" w:after="120" w:line="288" w:lineRule="auto"/>
        <w:rPr>
          <w:rFonts w:hint="eastAsia"/>
        </w:rPr>
      </w:pPr>
      <w:r>
        <w:rPr>
          <w:rFonts w:hint="eastAsia"/>
        </w:rPr>
        <w:drawing>
          <wp:inline distT="0" distB="0" distL="0" distR="0">
            <wp:extent cx="5616575" cy="3221990"/>
            <wp:effectExtent l="0" t="0" r="3175" b="16510"/>
            <wp:docPr id="4852887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88794" name="图片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3811" cy="3225989"/>
                    </a:xfrm>
                    <a:prstGeom prst="rect">
                      <a:avLst/>
                    </a:prstGeom>
                  </pic:spPr>
                </pic:pic>
              </a:graphicData>
            </a:graphic>
          </wp:inline>
        </w:drawing>
      </w:r>
    </w:p>
    <w:p w14:paraId="6CE4B0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方正楷体_GB2312" w:hAnsi="方正楷体_GB2312" w:eastAsia="方正楷体_GB2312" w:cs="方正楷体_GB2312"/>
          <w:sz w:val="32"/>
          <w:szCs w:val="32"/>
          <w:lang w:val="en-US" w:eastAsia="zh-CN"/>
        </w:rPr>
      </w:pPr>
      <w:bookmarkStart w:id="66" w:name="_Toc3589"/>
      <w:bookmarkStart w:id="67" w:name="_Toc225364422"/>
      <w:bookmarkStart w:id="68" w:name="_Toc224765142"/>
      <w:bookmarkStart w:id="69" w:name="_Toc224773480"/>
      <w:bookmarkStart w:id="70" w:name="_Toc27459"/>
      <w:bookmarkStart w:id="71" w:name="heading_78"/>
      <w:r>
        <w:rPr>
          <w:rFonts w:hint="eastAsia" w:ascii="方正楷体_GB2312" w:hAnsi="方正楷体_GB2312" w:eastAsia="方正楷体_GB2312" w:cs="方正楷体_GB2312"/>
          <w:sz w:val="32"/>
          <w:szCs w:val="32"/>
          <w:lang w:val="en-US" w:eastAsia="zh-CN"/>
        </w:rPr>
        <w:t>（四）布局人工智能+AI模型应用</w:t>
      </w:r>
      <w:bookmarkEnd w:id="66"/>
      <w:bookmarkEnd w:id="67"/>
    </w:p>
    <w:p w14:paraId="30CE8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为解决当前研发数据分散、流程不统一、变更管理混乱、知识难以沉淀复用、创新效率不足等问题，拟以PLM 产品全生命周期管理平台为基座，先完成研发全流程标准化、规范化、数字化，再逐步叠加人工智能技术，构建“ 好博PLM+AI” 一体化智能研发体系 ，实现从 “经验驱动研发” 向 “数据驱动 + 智能决策” 转型，最终提升产品迭代速度、降低合规风险、强化临床与工程融合、构筑企业核心技术壁垒。</w:t>
      </w:r>
    </w:p>
    <w:p w14:paraId="127FF9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把研发 “管起来、统起来、规范起来”，为 AI 打数据基础，让数据 “可用、可信、可分析”，AI 才能用起来，用 AI 放大 PLM 价值，形成 “AI 研发能力”，以PLM 实现研发全流程标准化、数据统一化、合规可追溯为底座，逐步引入自然语言处理、机器学习、知识图谱与生成式 AI 技术，构建覆盖需求、设计、仿真、测试、临床、变更、合规的AI 驱动智能研发体系，最终实现康复医疗设备研发更高效、更可靠、更合规、更具创新性。</w:t>
      </w:r>
    </w:p>
    <w:p w14:paraId="098C50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p>
    <w:p w14:paraId="7348F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72" w:name="_Toc2036"/>
      <w:r>
        <w:rPr>
          <w:rFonts w:hint="eastAsia" w:ascii="黑体" w:hAnsi="黑体" w:eastAsia="黑体" w:cs="黑体"/>
          <w:sz w:val="32"/>
          <w:szCs w:val="32"/>
        </w:rPr>
        <w:t>四、技术要求</w:t>
      </w:r>
      <w:bookmarkEnd w:id="68"/>
      <w:bookmarkEnd w:id="69"/>
      <w:bookmarkEnd w:id="70"/>
      <w:bookmarkEnd w:id="71"/>
      <w:bookmarkEnd w:id="72"/>
    </w:p>
    <w:p w14:paraId="5E7D47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73" w:name="_Toc24914"/>
      <w:bookmarkStart w:id="74" w:name="_Toc224773481"/>
      <w:r>
        <w:rPr>
          <w:rFonts w:hint="eastAsia" w:ascii="方正楷体_GB2312" w:hAnsi="方正楷体_GB2312" w:eastAsia="方正楷体_GB2312" w:cs="方正楷体_GB2312"/>
          <w:b/>
          <w:bCs/>
          <w:sz w:val="32"/>
          <w:szCs w:val="32"/>
        </w:rPr>
        <w:t>（一）基础技术架构要求</w:t>
      </w:r>
      <w:bookmarkEnd w:id="73"/>
      <w:bookmarkEnd w:id="74"/>
    </w:p>
    <w:p w14:paraId="072BA4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采用“C/S+Web”混合架构，支持客户端本地高效操作与Web浏览器远程访问，适配研发中心现有网络环境，兼容Windows 10及以上操作系统，保障不同场景下的使用体验。</w:t>
      </w:r>
    </w:p>
    <w:p w14:paraId="305D4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数据库采用Microsoft SQL Server 2017及以上稳定版本，支持最大524PB数据库容量，满足海量研发数据长期存储与快速检索需求。</w:t>
      </w:r>
    </w:p>
    <w:p w14:paraId="064C74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支持多站点部署与异地数据实时同步，服务器端包含archive server、数据库服务器、Web API服务器、应用服务器核心组件，保障系统7×24小时稳定运行，可用性达99.9%以上。</w:t>
      </w:r>
    </w:p>
    <w:p w14:paraId="3E2541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sz w:val="32"/>
          <w:szCs w:val="32"/>
        </w:rPr>
        <w:t>具备弹性扩容能力，初期支持50-80并发用户，未来可平滑扩展至150+用户规模，适配业务规模增长与多组织协同需求。</w:t>
      </w:r>
    </w:p>
    <w:p w14:paraId="364FB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5. </w:t>
      </w:r>
      <w:r>
        <w:rPr>
          <w:rFonts w:hint="eastAsia" w:ascii="方正仿宋_GB2312" w:hAnsi="方正仿宋_GB2312" w:eastAsia="方正仿宋_GB2312" w:cs="方正仿宋_GB2312"/>
          <w:sz w:val="32"/>
          <w:szCs w:val="32"/>
        </w:rPr>
        <w:t>支持多语言界面（中文、英文等），满足跨国际研发协同的语言使用需求，消除地域沟通障碍。</w:t>
      </w:r>
    </w:p>
    <w:p w14:paraId="2C2E285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75" w:name="_Toc224773482"/>
      <w:bookmarkStart w:id="76" w:name="_Toc26918"/>
      <w:r>
        <w:rPr>
          <w:rFonts w:hint="eastAsia" w:ascii="方正楷体_GB2312" w:hAnsi="方正楷体_GB2312" w:eastAsia="方正楷体_GB2312" w:cs="方正楷体_GB2312"/>
          <w:b/>
          <w:bCs/>
          <w:sz w:val="32"/>
          <w:szCs w:val="32"/>
        </w:rPr>
        <w:t>（二）核心技术标准</w:t>
      </w:r>
      <w:bookmarkEnd w:id="75"/>
      <w:bookmarkEnd w:id="76"/>
    </w:p>
    <w:p w14:paraId="6713C5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系统操作：要简单易用，匹配windows操作习惯，最好在PDM/PLM系统中能直接查看、搜索、拖拽使用原有的设计参数或模型，节省时间提升效率减少出错；一定要避免因对模型数据兼容性问题造成的等待时间、报错</w:t>
      </w:r>
      <w:r>
        <w:rPr>
          <w:rFonts w:hint="eastAsia" w:ascii="方正仿宋_GB2312" w:hAnsi="方正仿宋_GB2312" w:eastAsia="方正仿宋_GB2312" w:cs="方正仿宋_GB2312"/>
          <w:sz w:val="32"/>
          <w:szCs w:val="32"/>
          <w:lang w:eastAsia="zh-CN"/>
        </w:rPr>
        <w:t>或</w:t>
      </w:r>
      <w:r>
        <w:rPr>
          <w:rFonts w:hint="eastAsia" w:ascii="方正仿宋_GB2312" w:hAnsi="方正仿宋_GB2312" w:eastAsia="方正仿宋_GB2312" w:cs="方正仿宋_GB2312"/>
          <w:sz w:val="32"/>
          <w:szCs w:val="32"/>
        </w:rPr>
        <w:t>引用错误。</w:t>
      </w:r>
    </w:p>
    <w:p w14:paraId="7C7B62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全流程集成兼容性：深度集成SOLIDWORKS、Creo等主流三维设计软件，Altium、Electrical等二维电气设计软件，Abaqus\ANSYS等有限元分析软件；全面兼容Microsoft Office、PDF、STEP、STL等主流文件格式，确保研发各环节数据无缝对接与流转。</w:t>
      </w:r>
    </w:p>
    <w:p w14:paraId="247EFD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版本与权限管控标准：支持文件检入/检出机制，自动记录版本迭代历史（含修改人、修改时间、修改内容、审批意见），支持版本对比与回溯；采用基于角色的三级权限管控（用户、角色、项目），可精细化设置数据访问、修改、审批、下载等权限，保障数据安全。</w:t>
      </w:r>
    </w:p>
    <w:p w14:paraId="36CE1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sz w:val="32"/>
          <w:szCs w:val="32"/>
        </w:rPr>
        <w:t>流程定制与审批标准：支持可视化流程编辑器，可自定义项目立项、任务分发、审批、缺陷管理等全流程模板，适配公司管理规范，满足合规审计要求。</w:t>
      </w:r>
    </w:p>
    <w:p w14:paraId="355904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lang w:val="en-US" w:eastAsia="zh-CN"/>
        </w:rPr>
        <w:t>5.</w:t>
      </w:r>
      <w:r>
        <w:rPr>
          <w:rFonts w:hint="eastAsia" w:ascii="方正仿宋_GB2312" w:hAnsi="方正仿宋_GB2312" w:eastAsia="方正仿宋_GB2312" w:cs="方正仿宋_GB2312"/>
          <w:sz w:val="32"/>
          <w:szCs w:val="32"/>
          <w:highlight w:val="none"/>
        </w:rPr>
        <w:t>跨系统接口标准：提供开放的API接口，支持与现有ERP系统</w:t>
      </w:r>
      <w:r>
        <w:rPr>
          <w:rFonts w:hint="eastAsia" w:ascii="方正仿宋_GB2312" w:hAnsi="方正仿宋_GB2312" w:eastAsia="方正仿宋_GB2312" w:cs="方正仿宋_GB2312"/>
          <w:sz w:val="32"/>
          <w:szCs w:val="32"/>
          <w:highlight w:val="none"/>
          <w:lang w:val="en-US" w:eastAsia="zh-CN"/>
        </w:rPr>
        <w:t>/集团管控平台</w:t>
      </w:r>
      <w:r>
        <w:rPr>
          <w:rFonts w:hint="eastAsia" w:ascii="方正仿宋_GB2312" w:hAnsi="方正仿宋_GB2312" w:eastAsia="方正仿宋_GB2312" w:cs="方正仿宋_GB2312"/>
          <w:sz w:val="32"/>
          <w:szCs w:val="32"/>
          <w:highlight w:val="none"/>
        </w:rPr>
        <w:t>对接，实现研发BOM、物料信息、技术参数的自动同步与双向交互；</w:t>
      </w:r>
      <w:r>
        <w:rPr>
          <w:rFonts w:hint="eastAsia" w:ascii="方正仿宋_GB2312" w:hAnsi="方正仿宋_GB2312" w:eastAsia="方正仿宋_GB2312" w:cs="方正仿宋_GB2312"/>
          <w:sz w:val="32"/>
          <w:szCs w:val="32"/>
          <w:highlight w:val="none"/>
          <w:lang w:val="en-US" w:eastAsia="zh-CN"/>
        </w:rPr>
        <w:t>实现单点登录、代办审批，</w:t>
      </w:r>
      <w:r>
        <w:rPr>
          <w:rFonts w:hint="eastAsia" w:ascii="方正仿宋_GB2312" w:hAnsi="方正仿宋_GB2312" w:eastAsia="方正仿宋_GB2312" w:cs="方正仿宋_GB2312"/>
          <w:sz w:val="32"/>
          <w:szCs w:val="32"/>
          <w:highlight w:val="none"/>
        </w:rPr>
        <w:t>预留与</w:t>
      </w:r>
      <w:r>
        <w:rPr>
          <w:rFonts w:hint="eastAsia" w:ascii="方正仿宋_GB2312" w:hAnsi="方正仿宋_GB2312" w:eastAsia="方正仿宋_GB2312" w:cs="方正仿宋_GB2312"/>
          <w:sz w:val="32"/>
          <w:szCs w:val="32"/>
          <w:highlight w:val="none"/>
          <w:lang w:eastAsia="zh-CN"/>
        </w:rPr>
        <w:t>其他</w:t>
      </w:r>
      <w:r>
        <w:rPr>
          <w:rFonts w:hint="eastAsia" w:ascii="方正仿宋_GB2312" w:hAnsi="方正仿宋_GB2312" w:eastAsia="方正仿宋_GB2312" w:cs="方正仿宋_GB2312"/>
          <w:sz w:val="32"/>
          <w:szCs w:val="32"/>
          <w:highlight w:val="none"/>
        </w:rPr>
        <w:t>系统的标准化对接通道，支持未来业务系统扩展与一体化集成。</w:t>
      </w:r>
    </w:p>
    <w:p w14:paraId="7D6266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rPr>
      </w:pPr>
      <w:bookmarkStart w:id="77" w:name="_Toc6547"/>
      <w:bookmarkStart w:id="78" w:name="_Toc224773483"/>
      <w:bookmarkStart w:id="79" w:name="heading_87"/>
      <w:bookmarkStart w:id="80" w:name="_Toc224765151"/>
      <w:r>
        <w:rPr>
          <w:rFonts w:hint="eastAsia" w:ascii="方正楷体_GB2312" w:hAnsi="方正楷体_GB2312" w:eastAsia="方正楷体_GB2312" w:cs="方正楷体_GB2312"/>
          <w:b/>
          <w:bCs/>
          <w:sz w:val="32"/>
          <w:szCs w:val="32"/>
        </w:rPr>
        <w:t>（三）部署与服务要求</w:t>
      </w:r>
      <w:bookmarkEnd w:id="77"/>
      <w:bookmarkEnd w:id="78"/>
    </w:p>
    <w:p w14:paraId="431560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1. </w:t>
      </w:r>
      <w:r>
        <w:rPr>
          <w:rFonts w:hint="eastAsia" w:ascii="方正仿宋_GB2312" w:hAnsi="方正仿宋_GB2312" w:eastAsia="方正仿宋_GB2312" w:cs="方正仿宋_GB2312"/>
          <w:sz w:val="32"/>
          <w:szCs w:val="32"/>
        </w:rPr>
        <w:t>提供完整的系统部署方案，支持本地部署模式，适配公司现有IT架构，提供专业的现场部署与技术支持服务，确保系统平稳上线。</w:t>
      </w:r>
    </w:p>
    <w:p w14:paraId="262248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2. </w:t>
      </w:r>
      <w:r>
        <w:rPr>
          <w:rFonts w:hint="eastAsia" w:ascii="方正仿宋_GB2312" w:hAnsi="方正仿宋_GB2312" w:eastAsia="方正仿宋_GB2312" w:cs="方正仿宋_GB2312"/>
          <w:sz w:val="32"/>
          <w:szCs w:val="32"/>
        </w:rPr>
        <w:t>提供定制化培训服务，涵盖管理员培训、研发人员操作培训、跨部门协同培训等，配套详细操作手册，确保全员熟练掌握系统功能。</w:t>
      </w:r>
    </w:p>
    <w:p w14:paraId="0C327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3. </w:t>
      </w:r>
      <w:r>
        <w:rPr>
          <w:rFonts w:hint="eastAsia" w:ascii="方正仿宋_GB2312" w:hAnsi="方正仿宋_GB2312" w:eastAsia="方正仿宋_GB2312" w:cs="方正仿宋_GB2312"/>
          <w:sz w:val="32"/>
          <w:szCs w:val="32"/>
        </w:rPr>
        <w:t>提供至少1年免费运维服务，包括系统升级、故障排查、技术咨询、数据备份与恢复支持，7×24小时应急响应，保障系统稳定运行。</w:t>
      </w:r>
    </w:p>
    <w:p w14:paraId="11B19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 xml:space="preserve">4. </w:t>
      </w:r>
      <w:r>
        <w:rPr>
          <w:rFonts w:hint="eastAsia" w:ascii="方正仿宋_GB2312" w:hAnsi="方正仿宋_GB2312" w:eastAsia="方正仿宋_GB2312" w:cs="方正仿宋_GB2312"/>
          <w:sz w:val="32"/>
          <w:szCs w:val="32"/>
        </w:rPr>
        <w:t>支持二次开发与个性化配置，可根据公司业务发展需求灵活调整流程模板、报表维度、接口参数，适配长期发展与管理优化需求。</w:t>
      </w:r>
    </w:p>
    <w:p w14:paraId="1DFF35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rPr>
      </w:pPr>
      <w:bookmarkStart w:id="81" w:name="_Toc224773484"/>
      <w:bookmarkStart w:id="82" w:name="_Toc3731"/>
      <w:bookmarkStart w:id="83" w:name="_Toc25984"/>
      <w:r>
        <w:rPr>
          <w:rFonts w:hint="eastAsia" w:ascii="黑体" w:hAnsi="黑体" w:eastAsia="黑体" w:cs="黑体"/>
          <w:sz w:val="32"/>
          <w:szCs w:val="32"/>
        </w:rPr>
        <w:t>五、配套硬件</w:t>
      </w:r>
      <w:bookmarkEnd w:id="79"/>
      <w:bookmarkEnd w:id="80"/>
      <w:bookmarkStart w:id="84" w:name="_Toc224765154"/>
      <w:bookmarkStart w:id="85" w:name="heading_92"/>
      <w:r>
        <w:rPr>
          <w:rFonts w:hint="eastAsia" w:ascii="黑体" w:hAnsi="黑体" w:eastAsia="黑体" w:cs="黑体"/>
          <w:sz w:val="32"/>
          <w:szCs w:val="32"/>
        </w:rPr>
        <w:t>：服务器</w:t>
      </w:r>
      <w:r>
        <w:rPr>
          <w:rFonts w:hint="eastAsia" w:ascii="黑体" w:hAnsi="黑体" w:eastAsia="黑体" w:cs="黑体"/>
          <w:sz w:val="32"/>
          <w:szCs w:val="32"/>
          <w:lang w:val="en-US" w:eastAsia="zh-CN"/>
        </w:rPr>
        <w:t>&amp;网安设备</w:t>
      </w:r>
      <w:r>
        <w:rPr>
          <w:rFonts w:hint="eastAsia" w:ascii="黑体" w:hAnsi="黑体" w:eastAsia="黑体" w:cs="黑体"/>
          <w:sz w:val="32"/>
          <w:szCs w:val="32"/>
        </w:rPr>
        <w:t>配置规划</w:t>
      </w:r>
      <w:bookmarkEnd w:id="81"/>
      <w:bookmarkEnd w:id="82"/>
      <w:bookmarkEnd w:id="83"/>
    </w:p>
    <w:p w14:paraId="6A7BD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s="仿宋"/>
          <w:sz w:val="32"/>
          <w:szCs w:val="32"/>
          <w:lang w:val="en-US" w:eastAsia="zh-CN"/>
        </w:rPr>
      </w:pPr>
      <w:bookmarkStart w:id="86" w:name="_Toc2886"/>
      <w:r>
        <w:rPr>
          <w:rFonts w:hint="eastAsia" w:ascii="仿宋" w:hAnsi="仿宋" w:eastAsia="仿宋" w:cs="仿宋"/>
          <w:sz w:val="32"/>
          <w:szCs w:val="32"/>
          <w:lang w:val="en-US" w:eastAsia="zh-CN"/>
        </w:rPr>
        <w:t>1.服务器配置</w:t>
      </w:r>
      <w:bookmarkEnd w:id="86"/>
    </w:p>
    <w:tbl>
      <w:tblPr>
        <w:tblStyle w:val="8"/>
        <w:tblW w:w="14252"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2355"/>
        <w:gridCol w:w="2231"/>
        <w:gridCol w:w="2718"/>
        <w:gridCol w:w="2736"/>
        <w:gridCol w:w="2736"/>
      </w:tblGrid>
      <w:tr w14:paraId="69EB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83" w:hRule="atLeast"/>
        </w:trPr>
        <w:tc>
          <w:tcPr>
            <w:tcW w:w="6062" w:type="dxa"/>
            <w:gridSpan w:val="3"/>
            <w:vAlign w:val="center"/>
          </w:tcPr>
          <w:p w14:paraId="62AD8AFD">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存储和应用服务器</w:t>
            </w:r>
          </w:p>
        </w:tc>
        <w:tc>
          <w:tcPr>
            <w:tcW w:w="2718" w:type="dxa"/>
            <w:vAlign w:val="center"/>
          </w:tcPr>
          <w:p w14:paraId="72ABA8C1">
            <w:pPr>
              <w:spacing w:after="0" w:line="240" w:lineRule="auto"/>
              <w:ind w:right="280"/>
              <w:jc w:val="center"/>
              <w:rPr>
                <w:rFonts w:hint="eastAsia" w:ascii="宋体" w:hAnsi="宋体" w:eastAsia="宋体"/>
                <w:b/>
                <w:sz w:val="22"/>
                <w:szCs w:val="22"/>
              </w:rPr>
            </w:pPr>
          </w:p>
        </w:tc>
      </w:tr>
      <w:tr w14:paraId="3291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shd w:val="clear" w:color="auto" w:fill="A5A5A5" w:themeFill="background1" w:themeFillShade="A6"/>
          </w:tcPr>
          <w:p w14:paraId="1936344E">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存储服务器</w:t>
            </w:r>
          </w:p>
        </w:tc>
        <w:tc>
          <w:tcPr>
            <w:tcW w:w="2355" w:type="dxa"/>
            <w:shd w:val="clear" w:color="auto" w:fill="A5A5A5" w:themeFill="background1" w:themeFillShade="A6"/>
          </w:tcPr>
          <w:p w14:paraId="4F81628F">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最低配置</w:t>
            </w:r>
          </w:p>
        </w:tc>
        <w:tc>
          <w:tcPr>
            <w:tcW w:w="2231" w:type="dxa"/>
            <w:shd w:val="clear" w:color="auto" w:fill="A5A5A5" w:themeFill="background1" w:themeFillShade="A6"/>
          </w:tcPr>
          <w:p w14:paraId="31AEFA11">
            <w:pPr>
              <w:tabs>
                <w:tab w:val="center" w:pos="1261"/>
                <w:tab w:val="right" w:pos="2683"/>
              </w:tabs>
              <w:spacing w:after="0" w:line="240" w:lineRule="auto"/>
              <w:ind w:right="280"/>
              <w:jc w:val="left"/>
              <w:rPr>
                <w:rFonts w:hint="eastAsia" w:ascii="宋体" w:hAnsi="宋体" w:eastAsia="宋体"/>
                <w:b/>
                <w:sz w:val="21"/>
                <w:szCs w:val="21"/>
                <w:lang w:eastAsia="zh-CN"/>
              </w:rPr>
            </w:pPr>
            <w:r>
              <w:rPr>
                <w:rFonts w:hint="eastAsia" w:ascii="宋体" w:hAnsi="宋体" w:eastAsia="宋体"/>
                <w:b/>
                <w:sz w:val="21"/>
                <w:szCs w:val="21"/>
                <w:lang w:eastAsia="zh-CN"/>
              </w:rPr>
              <w:tab/>
            </w:r>
            <w:r>
              <w:rPr>
                <w:rFonts w:hint="eastAsia" w:ascii="宋体" w:hAnsi="宋体" w:eastAsia="宋体"/>
                <w:b/>
                <w:sz w:val="21"/>
                <w:szCs w:val="21"/>
              </w:rPr>
              <w:t>推荐配置</w:t>
            </w:r>
            <w:r>
              <w:rPr>
                <w:rFonts w:hint="eastAsia" w:ascii="宋体" w:hAnsi="宋体" w:eastAsia="宋体"/>
                <w:b/>
                <w:sz w:val="21"/>
                <w:szCs w:val="21"/>
                <w:lang w:eastAsia="zh-CN"/>
              </w:rPr>
              <w:tab/>
            </w:r>
          </w:p>
        </w:tc>
        <w:tc>
          <w:tcPr>
            <w:tcW w:w="2718" w:type="dxa"/>
            <w:shd w:val="clear" w:color="auto" w:fill="A5A5A5" w:themeFill="background1" w:themeFillShade="A6"/>
          </w:tcPr>
          <w:p w14:paraId="2FBE6F5D">
            <w:pPr>
              <w:tabs>
                <w:tab w:val="center" w:pos="1261"/>
                <w:tab w:val="right" w:pos="2683"/>
              </w:tabs>
              <w:spacing w:after="0" w:line="240" w:lineRule="auto"/>
              <w:ind w:right="280"/>
              <w:jc w:val="center"/>
              <w:rPr>
                <w:rFonts w:hint="default" w:ascii="宋体" w:hAnsi="宋体" w:eastAsia="宋体"/>
                <w:b/>
                <w:sz w:val="21"/>
                <w:szCs w:val="21"/>
                <w:highlight w:val="cyan"/>
                <w:lang w:val="en-US" w:eastAsia="zh-CN"/>
              </w:rPr>
            </w:pPr>
            <w:r>
              <w:rPr>
                <w:rFonts w:hint="eastAsia" w:ascii="宋体" w:hAnsi="宋体" w:eastAsia="宋体"/>
                <w:b/>
                <w:sz w:val="21"/>
                <w:szCs w:val="21"/>
                <w:highlight w:val="cyan"/>
                <w:lang w:val="en-US" w:eastAsia="zh-CN"/>
              </w:rPr>
              <w:t>信创配置</w:t>
            </w:r>
          </w:p>
        </w:tc>
      </w:tr>
      <w:tr w14:paraId="67B9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6DA9FB0C">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处理器</w:t>
            </w:r>
          </w:p>
        </w:tc>
        <w:tc>
          <w:tcPr>
            <w:tcW w:w="2355" w:type="dxa"/>
          </w:tcPr>
          <w:p w14:paraId="2D10F63E">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w:t>
            </w:r>
          </w:p>
        </w:tc>
        <w:tc>
          <w:tcPr>
            <w:tcW w:w="2231" w:type="dxa"/>
          </w:tcPr>
          <w:p w14:paraId="7EC37E2A">
            <w:pPr>
              <w:spacing w:after="0" w:line="240" w:lineRule="auto"/>
              <w:ind w:right="280"/>
              <w:jc w:val="center"/>
              <w:rPr>
                <w:rFonts w:hint="eastAsia" w:ascii="宋体" w:hAnsi="宋体" w:eastAsia="宋体"/>
                <w:sz w:val="21"/>
                <w:szCs w:val="21"/>
              </w:rPr>
            </w:pPr>
            <w:r>
              <w:rPr>
                <w:rFonts w:ascii="宋体" w:hAnsi="宋体" w:eastAsia="宋体" w:cs="Times New Roman"/>
                <w:sz w:val="21"/>
                <w:szCs w:val="21"/>
              </w:rPr>
              <w:t>Intel Xwon Bronze</w:t>
            </w:r>
            <w:r>
              <w:rPr>
                <w:rFonts w:hint="eastAsia" w:ascii="宋体" w:hAnsi="宋体" w:eastAsia="宋体"/>
                <w:sz w:val="21"/>
                <w:szCs w:val="21"/>
              </w:rPr>
              <w:t>系列</w:t>
            </w:r>
          </w:p>
        </w:tc>
        <w:tc>
          <w:tcPr>
            <w:tcW w:w="2718" w:type="dxa"/>
            <w:shd w:val="clear" w:color="auto" w:fill="auto"/>
            <w:vAlign w:val="top"/>
          </w:tcPr>
          <w:p w14:paraId="3CD7CF44">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海光3280/3250</w:t>
            </w:r>
          </w:p>
        </w:tc>
      </w:tr>
      <w:tr w14:paraId="32D6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39" w:hRule="atLeast"/>
        </w:trPr>
        <w:tc>
          <w:tcPr>
            <w:tcW w:w="1476" w:type="dxa"/>
          </w:tcPr>
          <w:p w14:paraId="2990672B">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RAM</w:t>
            </w:r>
          </w:p>
        </w:tc>
        <w:tc>
          <w:tcPr>
            <w:tcW w:w="2355" w:type="dxa"/>
          </w:tcPr>
          <w:p w14:paraId="23D2A3CE">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16GB</w:t>
            </w:r>
          </w:p>
        </w:tc>
        <w:tc>
          <w:tcPr>
            <w:tcW w:w="2231" w:type="dxa"/>
          </w:tcPr>
          <w:p w14:paraId="62E2DEBD">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32GB</w:t>
            </w:r>
          </w:p>
        </w:tc>
        <w:tc>
          <w:tcPr>
            <w:tcW w:w="2718" w:type="dxa"/>
            <w:shd w:val="clear" w:color="auto" w:fill="auto"/>
            <w:vAlign w:val="top"/>
          </w:tcPr>
          <w:p w14:paraId="264F7AC0">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eastAsia="宋体" w:cs="宋体"/>
                <w:kern w:val="2"/>
                <w:sz w:val="21"/>
                <w:szCs w:val="21"/>
                <w:highlight w:val="cyan"/>
                <w:lang w:val="en-US" w:eastAsia="zh-CN" w:bidi="ar-SA"/>
              </w:rPr>
            </w:pPr>
            <w:r>
              <w:rPr>
                <w:rFonts w:hint="eastAsia" w:ascii="宋体" w:hAnsi="宋体" w:eastAsia="宋体" w:cs="宋体"/>
                <w:sz w:val="21"/>
                <w:szCs w:val="21"/>
                <w:highlight w:val="cyan"/>
                <w:lang w:val="en-US" w:eastAsia="zh-CN"/>
              </w:rPr>
              <w:t>32G DDR4</w:t>
            </w:r>
          </w:p>
        </w:tc>
      </w:tr>
      <w:tr w14:paraId="1562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5DDEF96A">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硬盘（可用空间）</w:t>
            </w:r>
          </w:p>
        </w:tc>
        <w:tc>
          <w:tcPr>
            <w:tcW w:w="2355" w:type="dxa"/>
          </w:tcPr>
          <w:p w14:paraId="4E134427">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1T</w:t>
            </w:r>
          </w:p>
        </w:tc>
        <w:tc>
          <w:tcPr>
            <w:tcW w:w="2231" w:type="dxa"/>
          </w:tcPr>
          <w:p w14:paraId="542A748B">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&gt;3T</w:t>
            </w:r>
          </w:p>
        </w:tc>
        <w:tc>
          <w:tcPr>
            <w:tcW w:w="2718" w:type="dxa"/>
            <w:shd w:val="clear" w:color="auto" w:fill="auto"/>
            <w:vAlign w:val="top"/>
          </w:tcPr>
          <w:p w14:paraId="585AF2A4">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eastAsia="宋体" w:cs="宋体"/>
                <w:kern w:val="2"/>
                <w:sz w:val="21"/>
                <w:szCs w:val="21"/>
                <w:highlight w:val="cyan"/>
                <w:lang w:val="en-US" w:eastAsia="zh-CN" w:bidi="ar-SA"/>
              </w:rPr>
            </w:pPr>
            <w:r>
              <w:rPr>
                <w:rFonts w:hint="eastAsia" w:ascii="宋体" w:hAnsi="宋体" w:eastAsia="宋体" w:cs="宋体"/>
                <w:sz w:val="21"/>
                <w:szCs w:val="21"/>
                <w:highlight w:val="cyan"/>
                <w:lang w:val="en-US" w:eastAsia="zh-CN"/>
              </w:rPr>
              <w:t>&gt;3T</w:t>
            </w:r>
          </w:p>
        </w:tc>
      </w:tr>
      <w:tr w14:paraId="6B45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6F485D3B">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操作系统</w:t>
            </w:r>
          </w:p>
        </w:tc>
        <w:tc>
          <w:tcPr>
            <w:tcW w:w="2355" w:type="dxa"/>
          </w:tcPr>
          <w:p w14:paraId="462D910D">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Windows Server 20</w:t>
            </w:r>
            <w:r>
              <w:rPr>
                <w:rFonts w:hint="eastAsia" w:ascii="宋体" w:hAnsi="宋体" w:eastAsia="宋体" w:cs="Times New Roman"/>
                <w:sz w:val="22"/>
                <w:szCs w:val="22"/>
              </w:rPr>
              <w:t>22</w:t>
            </w:r>
          </w:p>
        </w:tc>
        <w:tc>
          <w:tcPr>
            <w:tcW w:w="2231" w:type="dxa"/>
          </w:tcPr>
          <w:p w14:paraId="5D2279DC">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Windows Server 202</w:t>
            </w:r>
            <w:r>
              <w:rPr>
                <w:rFonts w:hint="eastAsia" w:ascii="宋体" w:hAnsi="宋体" w:eastAsia="宋体" w:cs="Times New Roman"/>
                <w:sz w:val="21"/>
                <w:szCs w:val="21"/>
              </w:rPr>
              <w:t>5</w:t>
            </w:r>
          </w:p>
        </w:tc>
        <w:tc>
          <w:tcPr>
            <w:tcW w:w="2718" w:type="dxa"/>
            <w:shd w:val="clear" w:color="auto" w:fill="auto"/>
            <w:vAlign w:val="top"/>
          </w:tcPr>
          <w:p w14:paraId="063BBA6B">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Windows Server 2025（需确认兼容性）</w:t>
            </w:r>
          </w:p>
        </w:tc>
      </w:tr>
      <w:tr w14:paraId="09BA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shd w:val="clear" w:color="auto" w:fill="A5A5A5" w:themeFill="background1" w:themeFillShade="A6"/>
          </w:tcPr>
          <w:p w14:paraId="252EF680">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应用服务器</w:t>
            </w:r>
          </w:p>
        </w:tc>
        <w:tc>
          <w:tcPr>
            <w:tcW w:w="2355" w:type="dxa"/>
            <w:shd w:val="clear" w:color="auto" w:fill="A5A5A5" w:themeFill="background1" w:themeFillShade="A6"/>
          </w:tcPr>
          <w:p w14:paraId="15B35C3A">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最低配置</w:t>
            </w:r>
          </w:p>
        </w:tc>
        <w:tc>
          <w:tcPr>
            <w:tcW w:w="2231" w:type="dxa"/>
            <w:shd w:val="clear" w:color="auto" w:fill="A5A5A5" w:themeFill="background1" w:themeFillShade="A6"/>
          </w:tcPr>
          <w:p w14:paraId="1CE5DABD">
            <w:pPr>
              <w:spacing w:after="0" w:line="240" w:lineRule="auto"/>
              <w:ind w:right="280"/>
              <w:jc w:val="center"/>
              <w:rPr>
                <w:rFonts w:hint="eastAsia" w:ascii="宋体" w:hAnsi="宋体" w:eastAsia="宋体"/>
                <w:b/>
                <w:sz w:val="21"/>
                <w:szCs w:val="21"/>
              </w:rPr>
            </w:pPr>
            <w:r>
              <w:rPr>
                <w:rFonts w:hint="eastAsia" w:ascii="宋体" w:hAnsi="宋体" w:eastAsia="宋体"/>
                <w:b/>
                <w:sz w:val="21"/>
                <w:szCs w:val="21"/>
              </w:rPr>
              <w:t>推荐配置</w:t>
            </w:r>
          </w:p>
        </w:tc>
        <w:tc>
          <w:tcPr>
            <w:tcW w:w="2718" w:type="dxa"/>
            <w:shd w:val="clear" w:color="auto" w:fill="A5A5A5" w:themeFill="background1" w:themeFillShade="A6"/>
            <w:vAlign w:val="top"/>
          </w:tcPr>
          <w:p w14:paraId="50BE3C2E">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hint="eastAsia" w:ascii="宋体" w:hAnsi="宋体" w:eastAsia="宋体" w:cs="宋体"/>
                <w:b/>
                <w:bCs/>
                <w:sz w:val="21"/>
                <w:szCs w:val="21"/>
                <w:highlight w:val="cyan"/>
                <w:lang w:val="en-US" w:eastAsia="zh-CN"/>
              </w:rPr>
              <w:t>信创配置</w:t>
            </w:r>
          </w:p>
        </w:tc>
      </w:tr>
      <w:tr w14:paraId="4CBE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1B18E7EE">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处理器（C</w:t>
            </w:r>
            <w:r>
              <w:rPr>
                <w:rFonts w:ascii="宋体" w:hAnsi="宋体" w:eastAsia="宋体"/>
                <w:sz w:val="22"/>
                <w:szCs w:val="22"/>
              </w:rPr>
              <w:t>PU</w:t>
            </w:r>
            <w:r>
              <w:rPr>
                <w:rFonts w:hint="eastAsia" w:ascii="宋体" w:hAnsi="宋体" w:eastAsia="宋体"/>
                <w:sz w:val="22"/>
                <w:szCs w:val="22"/>
              </w:rPr>
              <w:t>）</w:t>
            </w:r>
          </w:p>
        </w:tc>
        <w:tc>
          <w:tcPr>
            <w:tcW w:w="2355" w:type="dxa"/>
          </w:tcPr>
          <w:p w14:paraId="258649EA">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Intel Xeon 2.4GHz</w:t>
            </w:r>
          </w:p>
        </w:tc>
        <w:tc>
          <w:tcPr>
            <w:tcW w:w="2231" w:type="dxa"/>
          </w:tcPr>
          <w:p w14:paraId="2BCE4F2E">
            <w:pPr>
              <w:spacing w:after="0" w:line="240" w:lineRule="auto"/>
              <w:ind w:right="280"/>
              <w:jc w:val="center"/>
              <w:rPr>
                <w:rFonts w:hint="eastAsia" w:ascii="宋体" w:hAnsi="宋体" w:eastAsia="宋体"/>
                <w:sz w:val="21"/>
                <w:szCs w:val="21"/>
              </w:rPr>
            </w:pPr>
            <w:r>
              <w:rPr>
                <w:rFonts w:ascii="宋体" w:hAnsi="宋体" w:eastAsia="宋体" w:cs="Times New Roman"/>
                <w:sz w:val="21"/>
                <w:szCs w:val="21"/>
              </w:rPr>
              <w:t>Intel Xeon Silver</w:t>
            </w:r>
            <w:r>
              <w:rPr>
                <w:rFonts w:hint="eastAsia" w:ascii="宋体" w:hAnsi="宋体" w:eastAsia="宋体"/>
                <w:sz w:val="21"/>
                <w:szCs w:val="21"/>
              </w:rPr>
              <w:t>系统</w:t>
            </w:r>
          </w:p>
        </w:tc>
        <w:tc>
          <w:tcPr>
            <w:tcW w:w="2718" w:type="dxa"/>
            <w:shd w:val="clear" w:color="auto" w:fill="auto"/>
            <w:vAlign w:val="top"/>
          </w:tcPr>
          <w:p w14:paraId="3C95C543">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海光5280/5250</w:t>
            </w:r>
          </w:p>
        </w:tc>
      </w:tr>
      <w:tr w14:paraId="7ACF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71" w:hRule="atLeast"/>
        </w:trPr>
        <w:tc>
          <w:tcPr>
            <w:tcW w:w="1476" w:type="dxa"/>
          </w:tcPr>
          <w:p w14:paraId="03783AED">
            <w:pPr>
              <w:spacing w:after="0" w:line="240" w:lineRule="auto"/>
              <w:ind w:right="280"/>
              <w:jc w:val="center"/>
              <w:rPr>
                <w:rFonts w:hint="eastAsia" w:ascii="宋体" w:hAnsi="宋体" w:eastAsia="宋体"/>
                <w:sz w:val="22"/>
                <w:szCs w:val="22"/>
              </w:rPr>
            </w:pPr>
            <w:r>
              <w:rPr>
                <w:rFonts w:ascii="宋体" w:hAnsi="宋体" w:eastAsia="宋体" w:cs="Times New Roman"/>
                <w:sz w:val="22"/>
                <w:szCs w:val="22"/>
              </w:rPr>
              <w:t>CPU</w:t>
            </w:r>
            <w:r>
              <w:rPr>
                <w:rFonts w:hint="eastAsia" w:ascii="宋体" w:hAnsi="宋体" w:eastAsia="宋体"/>
                <w:sz w:val="22"/>
                <w:szCs w:val="22"/>
              </w:rPr>
              <w:t>数量</w:t>
            </w:r>
          </w:p>
        </w:tc>
        <w:tc>
          <w:tcPr>
            <w:tcW w:w="2355" w:type="dxa"/>
          </w:tcPr>
          <w:p w14:paraId="36795A6F">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1</w:t>
            </w:r>
          </w:p>
        </w:tc>
        <w:tc>
          <w:tcPr>
            <w:tcW w:w="2231" w:type="dxa"/>
          </w:tcPr>
          <w:p w14:paraId="688F20F9">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1</w:t>
            </w:r>
          </w:p>
        </w:tc>
        <w:tc>
          <w:tcPr>
            <w:tcW w:w="2718" w:type="dxa"/>
            <w:shd w:val="clear" w:color="auto" w:fill="auto"/>
            <w:vAlign w:val="top"/>
          </w:tcPr>
          <w:p w14:paraId="22FCC581">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1</w:t>
            </w:r>
          </w:p>
        </w:tc>
      </w:tr>
      <w:tr w14:paraId="683E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16420119">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内存（</w:t>
            </w:r>
            <w:r>
              <w:rPr>
                <w:rFonts w:ascii="宋体" w:hAnsi="宋体" w:eastAsia="宋体" w:cs="Times New Roman"/>
                <w:sz w:val="22"/>
                <w:szCs w:val="22"/>
              </w:rPr>
              <w:t>RAM</w:t>
            </w:r>
            <w:r>
              <w:rPr>
                <w:rFonts w:hint="eastAsia" w:ascii="宋体" w:hAnsi="宋体" w:eastAsia="宋体"/>
                <w:sz w:val="22"/>
                <w:szCs w:val="22"/>
              </w:rPr>
              <w:t>）</w:t>
            </w:r>
          </w:p>
        </w:tc>
        <w:tc>
          <w:tcPr>
            <w:tcW w:w="2355" w:type="dxa"/>
          </w:tcPr>
          <w:p w14:paraId="7D30CEBB">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32GB</w:t>
            </w:r>
          </w:p>
        </w:tc>
        <w:tc>
          <w:tcPr>
            <w:tcW w:w="2231" w:type="dxa"/>
          </w:tcPr>
          <w:p w14:paraId="5477D40B">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64GB</w:t>
            </w:r>
          </w:p>
        </w:tc>
        <w:tc>
          <w:tcPr>
            <w:tcW w:w="2718" w:type="dxa"/>
            <w:shd w:val="clear" w:color="auto" w:fill="auto"/>
            <w:vAlign w:val="top"/>
          </w:tcPr>
          <w:p w14:paraId="66978288">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64GB DDR4</w:t>
            </w:r>
          </w:p>
        </w:tc>
      </w:tr>
      <w:tr w14:paraId="76F6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0CE16F09">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硬盘（可用空间）</w:t>
            </w:r>
          </w:p>
        </w:tc>
        <w:tc>
          <w:tcPr>
            <w:tcW w:w="2355" w:type="dxa"/>
          </w:tcPr>
          <w:p w14:paraId="3F6D7447">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200G</w:t>
            </w:r>
          </w:p>
        </w:tc>
        <w:tc>
          <w:tcPr>
            <w:tcW w:w="2231" w:type="dxa"/>
          </w:tcPr>
          <w:p w14:paraId="6512909F">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1TB</w:t>
            </w:r>
          </w:p>
        </w:tc>
        <w:tc>
          <w:tcPr>
            <w:tcW w:w="2718" w:type="dxa"/>
            <w:shd w:val="clear" w:color="auto" w:fill="auto"/>
            <w:vAlign w:val="top"/>
          </w:tcPr>
          <w:p w14:paraId="29F7F9DD">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1TB（推荐企业级SSD或SAS硬盘）</w:t>
            </w:r>
          </w:p>
        </w:tc>
      </w:tr>
      <w:tr w14:paraId="029D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6C3829E3">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硬盘类型</w:t>
            </w:r>
          </w:p>
        </w:tc>
        <w:tc>
          <w:tcPr>
            <w:tcW w:w="2355" w:type="dxa"/>
          </w:tcPr>
          <w:p w14:paraId="41ABD5BD">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SATA</w:t>
            </w:r>
          </w:p>
        </w:tc>
        <w:tc>
          <w:tcPr>
            <w:tcW w:w="2231" w:type="dxa"/>
          </w:tcPr>
          <w:p w14:paraId="78337944">
            <w:pPr>
              <w:spacing w:after="0" w:line="240" w:lineRule="auto"/>
              <w:ind w:right="280"/>
              <w:jc w:val="center"/>
              <w:rPr>
                <w:rFonts w:hint="eastAsia" w:ascii="宋体" w:hAnsi="宋体" w:eastAsia="宋体"/>
                <w:sz w:val="21"/>
                <w:szCs w:val="21"/>
              </w:rPr>
            </w:pPr>
            <w:r>
              <w:rPr>
                <w:rFonts w:ascii="宋体" w:hAnsi="宋体" w:eastAsia="宋体" w:cs="Times New Roman"/>
                <w:sz w:val="21"/>
                <w:szCs w:val="21"/>
              </w:rPr>
              <w:t>SAS</w:t>
            </w:r>
            <w:r>
              <w:rPr>
                <w:rFonts w:hint="eastAsia" w:ascii="宋体" w:hAnsi="宋体" w:eastAsia="宋体"/>
                <w:sz w:val="21"/>
                <w:szCs w:val="21"/>
              </w:rPr>
              <w:t>或</w:t>
            </w:r>
            <w:r>
              <w:rPr>
                <w:rFonts w:ascii="宋体" w:hAnsi="宋体" w:eastAsia="宋体" w:cs="Times New Roman"/>
                <w:sz w:val="21"/>
                <w:szCs w:val="21"/>
              </w:rPr>
              <w:t>SSD</w:t>
            </w:r>
          </w:p>
        </w:tc>
        <w:tc>
          <w:tcPr>
            <w:tcW w:w="2718" w:type="dxa"/>
            <w:shd w:val="clear" w:color="auto" w:fill="auto"/>
            <w:vAlign w:val="top"/>
          </w:tcPr>
          <w:p w14:paraId="64400ACD">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SAS或SSD</w:t>
            </w:r>
          </w:p>
        </w:tc>
      </w:tr>
      <w:tr w14:paraId="7AA2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0A0277E6">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R</w:t>
            </w:r>
            <w:r>
              <w:rPr>
                <w:rFonts w:ascii="宋体" w:hAnsi="宋体" w:eastAsia="宋体"/>
                <w:sz w:val="22"/>
                <w:szCs w:val="22"/>
              </w:rPr>
              <w:t>AID</w:t>
            </w:r>
            <w:r>
              <w:rPr>
                <w:rFonts w:hint="eastAsia" w:ascii="宋体" w:hAnsi="宋体" w:eastAsia="宋体"/>
                <w:sz w:val="22"/>
                <w:szCs w:val="22"/>
              </w:rPr>
              <w:t>类型</w:t>
            </w:r>
          </w:p>
        </w:tc>
        <w:tc>
          <w:tcPr>
            <w:tcW w:w="2355" w:type="dxa"/>
          </w:tcPr>
          <w:p w14:paraId="1BBE685B">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Raid5</w:t>
            </w:r>
          </w:p>
        </w:tc>
        <w:tc>
          <w:tcPr>
            <w:tcW w:w="2231" w:type="dxa"/>
          </w:tcPr>
          <w:p w14:paraId="72B62E91">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Raid10</w:t>
            </w:r>
          </w:p>
        </w:tc>
        <w:tc>
          <w:tcPr>
            <w:tcW w:w="2718" w:type="dxa"/>
            <w:shd w:val="clear" w:color="auto" w:fill="auto"/>
            <w:vAlign w:val="top"/>
          </w:tcPr>
          <w:p w14:paraId="04BE24D7">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Raid10</w:t>
            </w:r>
          </w:p>
        </w:tc>
      </w:tr>
      <w:tr w14:paraId="16EE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tcPr>
          <w:p w14:paraId="7F71300A">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操作系统</w:t>
            </w:r>
          </w:p>
        </w:tc>
        <w:tc>
          <w:tcPr>
            <w:tcW w:w="2355" w:type="dxa"/>
          </w:tcPr>
          <w:p w14:paraId="344CE7AB">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Windows Server 20</w:t>
            </w:r>
            <w:r>
              <w:rPr>
                <w:rFonts w:hint="eastAsia" w:ascii="宋体" w:hAnsi="宋体" w:eastAsia="宋体" w:cs="Times New Roman"/>
                <w:sz w:val="22"/>
                <w:szCs w:val="22"/>
              </w:rPr>
              <w:t>22</w:t>
            </w:r>
          </w:p>
        </w:tc>
        <w:tc>
          <w:tcPr>
            <w:tcW w:w="2231" w:type="dxa"/>
          </w:tcPr>
          <w:p w14:paraId="056064AA">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Windows Server 202</w:t>
            </w:r>
            <w:r>
              <w:rPr>
                <w:rFonts w:hint="eastAsia" w:ascii="宋体" w:hAnsi="宋体" w:eastAsia="宋体" w:cs="Times New Roman"/>
                <w:sz w:val="21"/>
                <w:szCs w:val="21"/>
              </w:rPr>
              <w:t>5</w:t>
            </w:r>
          </w:p>
        </w:tc>
        <w:tc>
          <w:tcPr>
            <w:tcW w:w="2718" w:type="dxa"/>
            <w:shd w:val="clear" w:color="auto" w:fill="auto"/>
            <w:vAlign w:val="top"/>
          </w:tcPr>
          <w:p w14:paraId="523907D4">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hint="eastAsia" w:ascii="宋体" w:hAnsi="宋体" w:eastAsia="宋体" w:cs="宋体"/>
                <w:sz w:val="21"/>
                <w:szCs w:val="21"/>
                <w:highlight w:val="cyan"/>
              </w:rPr>
              <w:t>Windows Server 2025</w:t>
            </w:r>
          </w:p>
        </w:tc>
      </w:tr>
      <w:tr w14:paraId="1FD4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71" w:hRule="atLeast"/>
        </w:trPr>
        <w:tc>
          <w:tcPr>
            <w:tcW w:w="1476" w:type="dxa"/>
          </w:tcPr>
          <w:p w14:paraId="217DC876">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数据库服务器</w:t>
            </w:r>
          </w:p>
        </w:tc>
        <w:tc>
          <w:tcPr>
            <w:tcW w:w="2355" w:type="dxa"/>
          </w:tcPr>
          <w:p w14:paraId="71802397">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SQL Server 20</w:t>
            </w:r>
            <w:r>
              <w:rPr>
                <w:rFonts w:hint="eastAsia" w:ascii="宋体" w:hAnsi="宋体" w:eastAsia="宋体" w:cs="Times New Roman"/>
                <w:sz w:val="22"/>
                <w:szCs w:val="22"/>
              </w:rPr>
              <w:t>19 CU22</w:t>
            </w:r>
          </w:p>
        </w:tc>
        <w:tc>
          <w:tcPr>
            <w:tcW w:w="2231" w:type="dxa"/>
          </w:tcPr>
          <w:p w14:paraId="5BE2580E">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SQL Server 20</w:t>
            </w:r>
            <w:r>
              <w:rPr>
                <w:rFonts w:hint="eastAsia" w:ascii="宋体" w:hAnsi="宋体" w:eastAsia="宋体" w:cs="Times New Roman"/>
                <w:sz w:val="21"/>
                <w:szCs w:val="21"/>
              </w:rPr>
              <w:t>25</w:t>
            </w:r>
          </w:p>
        </w:tc>
        <w:tc>
          <w:tcPr>
            <w:tcW w:w="2718" w:type="dxa"/>
            <w:shd w:val="clear" w:color="auto" w:fill="auto"/>
            <w:vAlign w:val="top"/>
          </w:tcPr>
          <w:p w14:paraId="66E76314">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hint="eastAsia" w:ascii="宋体" w:hAnsi="宋体" w:eastAsia="宋体" w:cs="宋体"/>
                <w:sz w:val="21"/>
                <w:szCs w:val="21"/>
                <w:highlight w:val="cyan"/>
              </w:rPr>
              <w:t>SQL Server 2025</w:t>
            </w:r>
          </w:p>
        </w:tc>
      </w:tr>
      <w:tr w14:paraId="4099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062" w:type="dxa"/>
            <w:gridSpan w:val="3"/>
            <w:vAlign w:val="center"/>
          </w:tcPr>
          <w:p w14:paraId="13C2A386">
            <w:pPr>
              <w:spacing w:after="0" w:line="240" w:lineRule="auto"/>
              <w:ind w:right="280"/>
              <w:jc w:val="center"/>
              <w:rPr>
                <w:rFonts w:hint="eastAsia" w:ascii="宋体" w:hAnsi="宋体" w:eastAsia="宋体"/>
                <w:bCs/>
                <w:color w:val="FF0000"/>
                <w:sz w:val="22"/>
                <w:szCs w:val="22"/>
              </w:rPr>
            </w:pPr>
            <w:r>
              <w:rPr>
                <w:rFonts w:hint="eastAsia" w:ascii="宋体" w:hAnsi="宋体" w:eastAsia="宋体"/>
                <w:bCs/>
                <w:color w:val="FF0000"/>
                <w:sz w:val="22"/>
                <w:szCs w:val="22"/>
              </w:rPr>
              <w:t>许可管理器服务器</w:t>
            </w:r>
          </w:p>
        </w:tc>
        <w:tc>
          <w:tcPr>
            <w:tcW w:w="2718" w:type="dxa"/>
            <w:vAlign w:val="center"/>
          </w:tcPr>
          <w:p w14:paraId="2E75EBB8">
            <w:pPr>
              <w:spacing w:after="0" w:line="240" w:lineRule="auto"/>
              <w:ind w:right="280"/>
              <w:jc w:val="center"/>
              <w:rPr>
                <w:rFonts w:hint="eastAsia" w:ascii="宋体" w:hAnsi="宋体" w:eastAsia="宋体"/>
                <w:bCs/>
                <w:color w:val="FF0000"/>
                <w:sz w:val="21"/>
                <w:szCs w:val="21"/>
                <w:highlight w:val="cyan"/>
              </w:rPr>
            </w:pPr>
          </w:p>
        </w:tc>
        <w:tc>
          <w:tcPr>
            <w:tcW w:w="2736" w:type="dxa"/>
            <w:vAlign w:val="center"/>
          </w:tcPr>
          <w:p w14:paraId="75CD8F7B">
            <w:pPr>
              <w:spacing w:after="0" w:line="240" w:lineRule="auto"/>
              <w:ind w:right="280"/>
              <w:jc w:val="center"/>
              <w:rPr>
                <w:rFonts w:hint="eastAsia" w:ascii="宋体" w:hAnsi="宋体" w:eastAsia="宋体"/>
                <w:bCs/>
                <w:color w:val="FF0000"/>
                <w:sz w:val="22"/>
                <w:szCs w:val="22"/>
              </w:rPr>
            </w:pPr>
          </w:p>
        </w:tc>
        <w:tc>
          <w:tcPr>
            <w:tcW w:w="2736" w:type="dxa"/>
            <w:vAlign w:val="center"/>
          </w:tcPr>
          <w:p w14:paraId="1B821691">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8"/>
                <w:szCs w:val="28"/>
                <w:lang w:val="en-US" w:eastAsia="zh-CN" w:bidi="ar-SA"/>
              </w:rPr>
            </w:pPr>
          </w:p>
        </w:tc>
      </w:tr>
      <w:tr w14:paraId="0F9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shd w:val="clear" w:color="auto" w:fill="A5A5A5" w:themeFill="background1" w:themeFillShade="A6"/>
            <w:vAlign w:val="center"/>
          </w:tcPr>
          <w:p w14:paraId="2A388C26">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硬件参数</w:t>
            </w:r>
          </w:p>
        </w:tc>
        <w:tc>
          <w:tcPr>
            <w:tcW w:w="2355" w:type="dxa"/>
            <w:shd w:val="clear" w:color="auto" w:fill="A5A5A5" w:themeFill="background1" w:themeFillShade="A6"/>
            <w:vAlign w:val="center"/>
          </w:tcPr>
          <w:p w14:paraId="56655642">
            <w:pPr>
              <w:spacing w:after="0" w:line="240" w:lineRule="auto"/>
              <w:ind w:right="280"/>
              <w:jc w:val="center"/>
              <w:rPr>
                <w:rFonts w:hint="eastAsia" w:ascii="宋体" w:hAnsi="宋体" w:eastAsia="宋体"/>
                <w:b/>
                <w:sz w:val="22"/>
                <w:szCs w:val="22"/>
              </w:rPr>
            </w:pPr>
            <w:r>
              <w:rPr>
                <w:rFonts w:hint="eastAsia" w:ascii="宋体" w:hAnsi="宋体" w:eastAsia="宋体"/>
                <w:b/>
                <w:sz w:val="22"/>
                <w:szCs w:val="22"/>
              </w:rPr>
              <w:t>最低配置</w:t>
            </w:r>
          </w:p>
        </w:tc>
        <w:tc>
          <w:tcPr>
            <w:tcW w:w="2231" w:type="dxa"/>
            <w:shd w:val="clear" w:color="auto" w:fill="A5A5A5" w:themeFill="background1" w:themeFillShade="A6"/>
            <w:vAlign w:val="center"/>
          </w:tcPr>
          <w:p w14:paraId="08AB149F">
            <w:pPr>
              <w:spacing w:after="0" w:line="240" w:lineRule="auto"/>
              <w:ind w:right="280"/>
              <w:jc w:val="center"/>
              <w:rPr>
                <w:rFonts w:hint="eastAsia" w:ascii="宋体" w:hAnsi="宋体" w:eastAsia="宋体"/>
                <w:b/>
                <w:sz w:val="21"/>
                <w:szCs w:val="21"/>
              </w:rPr>
            </w:pPr>
            <w:r>
              <w:rPr>
                <w:rFonts w:hint="eastAsia" w:ascii="宋体" w:hAnsi="宋体" w:eastAsia="宋体"/>
                <w:b/>
                <w:sz w:val="21"/>
                <w:szCs w:val="21"/>
              </w:rPr>
              <w:t>推荐配置</w:t>
            </w:r>
          </w:p>
        </w:tc>
        <w:tc>
          <w:tcPr>
            <w:tcW w:w="2718" w:type="dxa"/>
            <w:shd w:val="clear" w:color="auto" w:fill="A5A5A5" w:themeFill="background1" w:themeFillShade="A6"/>
            <w:vAlign w:val="center"/>
          </w:tcPr>
          <w:p w14:paraId="1EB15450">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b/>
                <w:bCs/>
                <w:kern w:val="2"/>
                <w:sz w:val="21"/>
                <w:szCs w:val="21"/>
                <w:highlight w:val="cyan"/>
                <w:lang w:val="en-US" w:eastAsia="zh-CN" w:bidi="ar-SA"/>
              </w:rPr>
            </w:pPr>
            <w:r>
              <w:rPr>
                <w:rFonts w:hint="eastAsia" w:ascii="宋体" w:hAnsi="宋体" w:eastAsia="宋体" w:cs="宋体"/>
                <w:b/>
                <w:bCs/>
                <w:sz w:val="21"/>
                <w:szCs w:val="21"/>
                <w:highlight w:val="cyan"/>
                <w:lang w:val="en-US" w:eastAsia="zh-CN"/>
              </w:rPr>
              <w:t>信创配置</w:t>
            </w:r>
          </w:p>
        </w:tc>
      </w:tr>
      <w:tr w14:paraId="3289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287" w:hRule="atLeast"/>
        </w:trPr>
        <w:tc>
          <w:tcPr>
            <w:tcW w:w="1476" w:type="dxa"/>
            <w:vAlign w:val="center"/>
          </w:tcPr>
          <w:p w14:paraId="6AF77AC7">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处理器</w:t>
            </w:r>
          </w:p>
        </w:tc>
        <w:tc>
          <w:tcPr>
            <w:tcW w:w="2355" w:type="dxa"/>
            <w:vAlign w:val="center"/>
          </w:tcPr>
          <w:p w14:paraId="332E21CD">
            <w:pPr>
              <w:spacing w:after="0" w:line="240" w:lineRule="auto"/>
              <w:ind w:right="280"/>
              <w:jc w:val="center"/>
              <w:rPr>
                <w:rFonts w:hint="eastAsia" w:ascii="宋体" w:hAnsi="宋体" w:eastAsia="宋体"/>
                <w:sz w:val="22"/>
                <w:szCs w:val="22"/>
              </w:rPr>
            </w:pPr>
            <w:r>
              <w:rPr>
                <w:rFonts w:ascii="宋体" w:hAnsi="宋体" w:eastAsia="宋体" w:cs="Times New Roman"/>
                <w:sz w:val="22"/>
                <w:szCs w:val="22"/>
              </w:rPr>
              <w:t>Intel i</w:t>
            </w:r>
            <w:r>
              <w:rPr>
                <w:rFonts w:hint="eastAsia" w:ascii="宋体" w:hAnsi="宋体" w:eastAsia="宋体" w:cs="Times New Roman"/>
                <w:sz w:val="22"/>
                <w:szCs w:val="22"/>
              </w:rPr>
              <w:t>5</w:t>
            </w:r>
            <w:r>
              <w:rPr>
                <w:rFonts w:hint="eastAsia" w:ascii="宋体" w:hAnsi="宋体" w:eastAsia="宋体"/>
                <w:sz w:val="22"/>
                <w:szCs w:val="22"/>
              </w:rPr>
              <w:t>系统</w:t>
            </w:r>
          </w:p>
        </w:tc>
        <w:tc>
          <w:tcPr>
            <w:tcW w:w="2231" w:type="dxa"/>
            <w:vAlign w:val="center"/>
          </w:tcPr>
          <w:p w14:paraId="0BD3728B">
            <w:pPr>
              <w:spacing w:after="0" w:line="240" w:lineRule="auto"/>
              <w:ind w:right="280"/>
              <w:jc w:val="center"/>
              <w:rPr>
                <w:rFonts w:hint="eastAsia" w:ascii="宋体" w:hAnsi="宋体" w:eastAsia="宋体"/>
                <w:sz w:val="21"/>
                <w:szCs w:val="21"/>
              </w:rPr>
            </w:pPr>
            <w:r>
              <w:rPr>
                <w:rFonts w:ascii="宋体" w:hAnsi="宋体" w:eastAsia="宋体" w:cs="Times New Roman"/>
                <w:sz w:val="21"/>
                <w:szCs w:val="21"/>
              </w:rPr>
              <w:t xml:space="preserve">Intel </w:t>
            </w:r>
            <w:r>
              <w:rPr>
                <w:rFonts w:hint="eastAsia" w:ascii="宋体" w:hAnsi="宋体" w:eastAsia="宋体" w:cs="Times New Roman"/>
                <w:sz w:val="21"/>
                <w:szCs w:val="21"/>
              </w:rPr>
              <w:t>ultra 7</w:t>
            </w:r>
            <w:r>
              <w:rPr>
                <w:rFonts w:hint="eastAsia" w:ascii="宋体" w:hAnsi="宋体" w:eastAsia="宋体"/>
                <w:sz w:val="21"/>
                <w:szCs w:val="21"/>
              </w:rPr>
              <w:t>系统</w:t>
            </w:r>
          </w:p>
        </w:tc>
        <w:tc>
          <w:tcPr>
            <w:tcW w:w="2718" w:type="dxa"/>
            <w:shd w:val="clear" w:color="auto" w:fill="auto"/>
            <w:vAlign w:val="center"/>
          </w:tcPr>
          <w:p w14:paraId="77F88EDF">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海光3250</w:t>
            </w:r>
          </w:p>
        </w:tc>
      </w:tr>
      <w:tr w14:paraId="33D3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81" w:hRule="atLeast"/>
        </w:trPr>
        <w:tc>
          <w:tcPr>
            <w:tcW w:w="1476" w:type="dxa"/>
            <w:vAlign w:val="center"/>
          </w:tcPr>
          <w:p w14:paraId="62CF4CAB">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RAM</w:t>
            </w:r>
          </w:p>
        </w:tc>
        <w:tc>
          <w:tcPr>
            <w:tcW w:w="2355" w:type="dxa"/>
            <w:vAlign w:val="center"/>
          </w:tcPr>
          <w:p w14:paraId="45BD3A4D">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4GB</w:t>
            </w:r>
          </w:p>
        </w:tc>
        <w:tc>
          <w:tcPr>
            <w:tcW w:w="2231" w:type="dxa"/>
            <w:vAlign w:val="center"/>
          </w:tcPr>
          <w:p w14:paraId="07727152">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8GB</w:t>
            </w:r>
          </w:p>
        </w:tc>
        <w:tc>
          <w:tcPr>
            <w:tcW w:w="2718" w:type="dxa"/>
            <w:shd w:val="clear" w:color="auto" w:fill="auto"/>
            <w:vAlign w:val="center"/>
          </w:tcPr>
          <w:p w14:paraId="5D28A29B">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8GB DDR4</w:t>
            </w:r>
          </w:p>
        </w:tc>
      </w:tr>
      <w:tr w14:paraId="5F90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78" w:hRule="atLeast"/>
        </w:trPr>
        <w:tc>
          <w:tcPr>
            <w:tcW w:w="1476" w:type="dxa"/>
            <w:vAlign w:val="center"/>
          </w:tcPr>
          <w:p w14:paraId="4D5CCBBF">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硬盘（可用空间）</w:t>
            </w:r>
          </w:p>
        </w:tc>
        <w:tc>
          <w:tcPr>
            <w:tcW w:w="2355" w:type="dxa"/>
            <w:vAlign w:val="center"/>
          </w:tcPr>
          <w:p w14:paraId="7C013C7E">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500HDD</w:t>
            </w:r>
          </w:p>
        </w:tc>
        <w:tc>
          <w:tcPr>
            <w:tcW w:w="2231" w:type="dxa"/>
            <w:vAlign w:val="center"/>
          </w:tcPr>
          <w:p w14:paraId="567AB35F">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500HDD</w:t>
            </w:r>
          </w:p>
        </w:tc>
        <w:tc>
          <w:tcPr>
            <w:tcW w:w="2718" w:type="dxa"/>
            <w:shd w:val="clear" w:color="auto" w:fill="auto"/>
            <w:vAlign w:val="center"/>
          </w:tcPr>
          <w:p w14:paraId="6D624C15">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500GB SSD</w:t>
            </w:r>
          </w:p>
        </w:tc>
      </w:tr>
      <w:tr w14:paraId="0763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78" w:hRule="atLeast"/>
        </w:trPr>
        <w:tc>
          <w:tcPr>
            <w:tcW w:w="1476" w:type="dxa"/>
            <w:vAlign w:val="center"/>
          </w:tcPr>
          <w:p w14:paraId="01EF602A">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显卡</w:t>
            </w:r>
          </w:p>
        </w:tc>
        <w:tc>
          <w:tcPr>
            <w:tcW w:w="2355" w:type="dxa"/>
            <w:vAlign w:val="center"/>
          </w:tcPr>
          <w:p w14:paraId="5748E9F9">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w:t>
            </w:r>
          </w:p>
        </w:tc>
        <w:tc>
          <w:tcPr>
            <w:tcW w:w="2231" w:type="dxa"/>
            <w:vAlign w:val="center"/>
          </w:tcPr>
          <w:p w14:paraId="2344D093">
            <w:pPr>
              <w:spacing w:after="0" w:line="240" w:lineRule="auto"/>
              <w:ind w:right="280"/>
              <w:jc w:val="center"/>
              <w:rPr>
                <w:rFonts w:hint="eastAsia" w:ascii="宋体" w:hAnsi="宋体" w:eastAsia="宋体"/>
                <w:sz w:val="21"/>
                <w:szCs w:val="21"/>
              </w:rPr>
            </w:pPr>
            <w:r>
              <w:rPr>
                <w:rFonts w:hint="eastAsia" w:ascii="宋体" w:hAnsi="宋体" w:eastAsia="宋体"/>
                <w:sz w:val="21"/>
                <w:szCs w:val="21"/>
              </w:rPr>
              <w:t>—</w:t>
            </w:r>
          </w:p>
        </w:tc>
        <w:tc>
          <w:tcPr>
            <w:tcW w:w="2718" w:type="dxa"/>
            <w:shd w:val="clear" w:color="auto" w:fill="auto"/>
            <w:vAlign w:val="center"/>
          </w:tcPr>
          <w:p w14:paraId="0C5E5F2C">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default" w:ascii="宋体" w:hAnsi="宋体" w:eastAsia="宋体" w:cs="宋体"/>
                <w:kern w:val="2"/>
                <w:sz w:val="21"/>
                <w:szCs w:val="21"/>
                <w:highlight w:val="cyan"/>
                <w:lang w:val="en-US" w:eastAsia="zh-CN" w:bidi="ar-SA"/>
              </w:rPr>
            </w:pPr>
            <w:r>
              <w:rPr>
                <w:rFonts w:hint="eastAsia" w:ascii="宋体" w:hAnsi="宋体" w:eastAsia="宋体" w:cs="宋体"/>
                <w:kern w:val="2"/>
                <w:sz w:val="21"/>
                <w:szCs w:val="21"/>
                <w:highlight w:val="cyan"/>
                <w:lang w:val="en-US" w:eastAsia="zh-CN" w:bidi="ar-SA"/>
              </w:rPr>
              <w:t>—</w:t>
            </w:r>
          </w:p>
        </w:tc>
      </w:tr>
      <w:tr w14:paraId="30AA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78" w:hRule="atLeast"/>
        </w:trPr>
        <w:tc>
          <w:tcPr>
            <w:tcW w:w="1476" w:type="dxa"/>
            <w:vMerge w:val="restart"/>
            <w:vAlign w:val="center"/>
          </w:tcPr>
          <w:p w14:paraId="4FB9EBFC">
            <w:pPr>
              <w:spacing w:after="0" w:line="240" w:lineRule="auto"/>
              <w:ind w:right="280"/>
              <w:jc w:val="center"/>
              <w:rPr>
                <w:rFonts w:hint="eastAsia" w:ascii="宋体" w:hAnsi="宋体" w:eastAsia="宋体"/>
                <w:sz w:val="22"/>
                <w:szCs w:val="22"/>
              </w:rPr>
            </w:pPr>
            <w:r>
              <w:rPr>
                <w:rFonts w:hint="eastAsia" w:ascii="宋体" w:hAnsi="宋体" w:eastAsia="宋体"/>
                <w:sz w:val="22"/>
                <w:szCs w:val="22"/>
              </w:rPr>
              <w:t>操作系统</w:t>
            </w:r>
          </w:p>
        </w:tc>
        <w:tc>
          <w:tcPr>
            <w:tcW w:w="2355" w:type="dxa"/>
            <w:vAlign w:val="center"/>
          </w:tcPr>
          <w:p w14:paraId="2A9EF7F7">
            <w:pPr>
              <w:spacing w:after="0" w:line="240" w:lineRule="auto"/>
              <w:ind w:right="280"/>
              <w:jc w:val="center"/>
              <w:rPr>
                <w:rFonts w:hint="eastAsia" w:ascii="宋体" w:hAnsi="宋体" w:eastAsia="宋体"/>
                <w:sz w:val="22"/>
                <w:szCs w:val="22"/>
              </w:rPr>
            </w:pPr>
            <w:r>
              <w:rPr>
                <w:rFonts w:ascii="宋体" w:hAnsi="宋体" w:eastAsia="宋体" w:cs="Times New Roman"/>
                <w:sz w:val="22"/>
                <w:szCs w:val="22"/>
              </w:rPr>
              <w:t>Windows 10</w:t>
            </w:r>
            <w:r>
              <w:rPr>
                <w:rFonts w:hint="eastAsia" w:ascii="宋体" w:hAnsi="宋体" w:eastAsia="宋体"/>
                <w:sz w:val="22"/>
                <w:szCs w:val="22"/>
              </w:rPr>
              <w:t>专业版</w:t>
            </w:r>
          </w:p>
        </w:tc>
        <w:tc>
          <w:tcPr>
            <w:tcW w:w="2231" w:type="dxa"/>
            <w:vAlign w:val="center"/>
          </w:tcPr>
          <w:p w14:paraId="2F9B9B45">
            <w:pPr>
              <w:spacing w:after="0" w:line="240" w:lineRule="auto"/>
              <w:ind w:right="280"/>
              <w:jc w:val="center"/>
              <w:rPr>
                <w:rFonts w:hint="eastAsia" w:ascii="宋体" w:hAnsi="宋体" w:eastAsia="宋体"/>
                <w:sz w:val="21"/>
                <w:szCs w:val="21"/>
              </w:rPr>
            </w:pPr>
            <w:r>
              <w:rPr>
                <w:rFonts w:ascii="宋体" w:hAnsi="宋体" w:eastAsia="宋体" w:cs="Times New Roman"/>
                <w:sz w:val="21"/>
                <w:szCs w:val="21"/>
              </w:rPr>
              <w:t xml:space="preserve">Windows </w:t>
            </w:r>
            <w:r>
              <w:rPr>
                <w:rFonts w:ascii="宋体" w:hAnsi="宋体" w:eastAsia="宋体"/>
                <w:sz w:val="21"/>
                <w:szCs w:val="21"/>
              </w:rPr>
              <w:t>11</w:t>
            </w:r>
            <w:r>
              <w:rPr>
                <w:rFonts w:hint="eastAsia" w:ascii="宋体" w:hAnsi="宋体" w:eastAsia="宋体"/>
                <w:sz w:val="21"/>
                <w:szCs w:val="21"/>
              </w:rPr>
              <w:t>专业版及以上</w:t>
            </w:r>
          </w:p>
        </w:tc>
        <w:tc>
          <w:tcPr>
            <w:tcW w:w="2718" w:type="dxa"/>
            <w:shd w:val="clear" w:color="auto" w:fill="auto"/>
            <w:vAlign w:val="center"/>
          </w:tcPr>
          <w:p w14:paraId="7643EB2B">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Times New Roman"/>
                <w:sz w:val="21"/>
                <w:szCs w:val="21"/>
                <w:highlight w:val="cyan"/>
              </w:rPr>
              <w:t xml:space="preserve">Windows </w:t>
            </w:r>
            <w:r>
              <w:rPr>
                <w:rFonts w:ascii="宋体" w:hAnsi="宋体" w:eastAsia="宋体"/>
                <w:sz w:val="21"/>
                <w:szCs w:val="21"/>
                <w:highlight w:val="cyan"/>
              </w:rPr>
              <w:t>11</w:t>
            </w:r>
            <w:r>
              <w:rPr>
                <w:rFonts w:hint="eastAsia" w:ascii="宋体" w:hAnsi="宋体" w:eastAsia="宋体"/>
                <w:sz w:val="21"/>
                <w:szCs w:val="21"/>
                <w:highlight w:val="cyan"/>
              </w:rPr>
              <w:t>专业版及以上</w:t>
            </w:r>
          </w:p>
        </w:tc>
      </w:tr>
      <w:tr w14:paraId="3181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78" w:hRule="atLeast"/>
        </w:trPr>
        <w:tc>
          <w:tcPr>
            <w:tcW w:w="1476" w:type="dxa"/>
            <w:vMerge w:val="continue"/>
            <w:vAlign w:val="center"/>
          </w:tcPr>
          <w:p w14:paraId="47780592">
            <w:pPr>
              <w:spacing w:after="0" w:line="240" w:lineRule="auto"/>
              <w:ind w:right="280"/>
              <w:jc w:val="center"/>
              <w:rPr>
                <w:rFonts w:hint="eastAsia" w:ascii="宋体" w:hAnsi="宋体" w:eastAsia="宋体"/>
                <w:sz w:val="22"/>
                <w:szCs w:val="22"/>
              </w:rPr>
            </w:pPr>
          </w:p>
        </w:tc>
        <w:tc>
          <w:tcPr>
            <w:tcW w:w="2355" w:type="dxa"/>
            <w:vAlign w:val="center"/>
          </w:tcPr>
          <w:p w14:paraId="627A8DD3">
            <w:pPr>
              <w:spacing w:after="0" w:line="240" w:lineRule="auto"/>
              <w:ind w:right="280"/>
              <w:jc w:val="center"/>
              <w:rPr>
                <w:rFonts w:hint="eastAsia" w:ascii="宋体" w:hAnsi="宋体" w:eastAsia="宋体" w:cs="Times New Roman"/>
                <w:sz w:val="22"/>
                <w:szCs w:val="22"/>
              </w:rPr>
            </w:pPr>
            <w:r>
              <w:rPr>
                <w:rFonts w:ascii="宋体" w:hAnsi="宋体" w:eastAsia="宋体" w:cs="Times New Roman"/>
                <w:sz w:val="22"/>
                <w:szCs w:val="22"/>
              </w:rPr>
              <w:t>Windows Server 20</w:t>
            </w:r>
            <w:r>
              <w:rPr>
                <w:rFonts w:hint="eastAsia" w:ascii="宋体" w:hAnsi="宋体" w:eastAsia="宋体" w:cs="Times New Roman"/>
                <w:sz w:val="22"/>
                <w:szCs w:val="22"/>
              </w:rPr>
              <w:t>22</w:t>
            </w:r>
          </w:p>
        </w:tc>
        <w:tc>
          <w:tcPr>
            <w:tcW w:w="2231" w:type="dxa"/>
            <w:vAlign w:val="center"/>
          </w:tcPr>
          <w:p w14:paraId="129FC50D">
            <w:pPr>
              <w:spacing w:after="0" w:line="240" w:lineRule="auto"/>
              <w:ind w:right="280"/>
              <w:jc w:val="center"/>
              <w:rPr>
                <w:rFonts w:hint="eastAsia" w:ascii="宋体" w:hAnsi="宋体" w:eastAsia="宋体" w:cs="Times New Roman"/>
                <w:sz w:val="21"/>
                <w:szCs w:val="21"/>
              </w:rPr>
            </w:pPr>
            <w:r>
              <w:rPr>
                <w:rFonts w:ascii="宋体" w:hAnsi="宋体" w:eastAsia="宋体" w:cs="Times New Roman"/>
                <w:sz w:val="21"/>
                <w:szCs w:val="21"/>
              </w:rPr>
              <w:t>Windows Server 202</w:t>
            </w:r>
            <w:r>
              <w:rPr>
                <w:rFonts w:hint="eastAsia" w:ascii="宋体" w:hAnsi="宋体" w:eastAsia="宋体" w:cs="Times New Roman"/>
                <w:sz w:val="21"/>
                <w:szCs w:val="21"/>
              </w:rPr>
              <w:t>5</w:t>
            </w:r>
          </w:p>
        </w:tc>
        <w:tc>
          <w:tcPr>
            <w:tcW w:w="2718" w:type="dxa"/>
            <w:shd w:val="clear" w:color="auto" w:fill="auto"/>
            <w:vAlign w:val="center"/>
          </w:tcPr>
          <w:p w14:paraId="5CBFCE84">
            <w:pPr>
              <w:keepNext w:val="0"/>
              <w:keepLines w:val="0"/>
              <w:pageBreakBefore w:val="0"/>
              <w:widowControl w:val="0"/>
              <w:kinsoku/>
              <w:wordWrap/>
              <w:overflowPunct/>
              <w:topLinePunct w:val="0"/>
              <w:autoSpaceDE/>
              <w:autoSpaceDN/>
              <w:bidi w:val="0"/>
              <w:adjustRightInd/>
              <w:snapToGrid/>
              <w:spacing w:after="0" w:line="480" w:lineRule="exact"/>
              <w:jc w:val="center"/>
              <w:textAlignment w:val="auto"/>
              <w:rPr>
                <w:rFonts w:hint="eastAsia" w:ascii="宋体" w:hAnsi="宋体" w:eastAsia="宋体" w:cs="宋体"/>
                <w:kern w:val="2"/>
                <w:sz w:val="21"/>
                <w:szCs w:val="21"/>
                <w:highlight w:val="cyan"/>
                <w:lang w:val="en-US" w:eastAsia="zh-CN" w:bidi="ar-SA"/>
              </w:rPr>
            </w:pPr>
            <w:r>
              <w:rPr>
                <w:rFonts w:ascii="宋体" w:hAnsi="宋体" w:eastAsia="宋体" w:cs="宋体"/>
                <w:sz w:val="21"/>
                <w:szCs w:val="21"/>
                <w:highlight w:val="cyan"/>
              </w:rPr>
              <w:t>Windows Server 2025</w:t>
            </w:r>
          </w:p>
        </w:tc>
      </w:tr>
      <w:tr w14:paraId="68A3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472" w:type="dxa"/>
          <w:trHeight w:val="378" w:hRule="atLeast"/>
        </w:trPr>
        <w:tc>
          <w:tcPr>
            <w:tcW w:w="6062" w:type="dxa"/>
            <w:gridSpan w:val="3"/>
            <w:vAlign w:val="center"/>
          </w:tcPr>
          <w:p w14:paraId="2C0CE445">
            <w:pPr>
              <w:spacing w:after="0" w:line="240" w:lineRule="auto"/>
              <w:ind w:right="280"/>
              <w:jc w:val="center"/>
              <w:rPr>
                <w:rFonts w:hint="eastAsia" w:ascii="宋体" w:hAnsi="宋体" w:eastAsia="宋体"/>
                <w:bCs/>
                <w:color w:val="FF0000"/>
                <w:sz w:val="22"/>
                <w:szCs w:val="22"/>
              </w:rPr>
            </w:pPr>
            <w:r>
              <w:rPr>
                <w:rFonts w:hint="eastAsia" w:ascii="宋体" w:hAnsi="宋体" w:eastAsia="宋体"/>
                <w:bCs/>
                <w:color w:val="FF0000"/>
                <w:sz w:val="22"/>
                <w:szCs w:val="22"/>
              </w:rPr>
              <w:t>用于客户端软件连接许可</w:t>
            </w:r>
          </w:p>
        </w:tc>
        <w:tc>
          <w:tcPr>
            <w:tcW w:w="2718" w:type="dxa"/>
            <w:vAlign w:val="center"/>
          </w:tcPr>
          <w:p w14:paraId="0A47A4D1">
            <w:pPr>
              <w:spacing w:after="0" w:line="240" w:lineRule="auto"/>
              <w:ind w:right="280"/>
              <w:jc w:val="center"/>
              <w:rPr>
                <w:rFonts w:hint="eastAsia" w:ascii="宋体" w:hAnsi="宋体" w:eastAsia="宋体"/>
                <w:bCs/>
                <w:color w:val="FF0000"/>
                <w:sz w:val="22"/>
                <w:szCs w:val="22"/>
              </w:rPr>
            </w:pPr>
          </w:p>
        </w:tc>
      </w:tr>
    </w:tbl>
    <w:p w14:paraId="5E7D686F">
      <w:pPr>
        <w:rPr>
          <w:rFonts w:hint="eastAsia"/>
        </w:rPr>
      </w:pPr>
    </w:p>
    <w:p w14:paraId="5372053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bCs/>
          <w:sz w:val="22"/>
          <w:szCs w:val="28"/>
          <w:lang w:val="en-US" w:eastAsia="zh-CN"/>
        </w:rPr>
      </w:pPr>
      <w:r>
        <w:rPr>
          <w:rFonts w:hint="eastAsia" w:ascii="方正仿宋_GB2312" w:hAnsi="方正仿宋_GB2312" w:eastAsia="方正仿宋_GB2312" w:cs="方正仿宋_GB2312"/>
          <w:b/>
          <w:bCs/>
          <w:sz w:val="22"/>
          <w:szCs w:val="28"/>
        </w:rPr>
        <w:t>说明</w:t>
      </w:r>
      <w:r>
        <w:rPr>
          <w:rFonts w:hint="eastAsia" w:ascii="方正仿宋_GB2312" w:hAnsi="方正仿宋_GB2312" w:eastAsia="方正仿宋_GB2312" w:cs="方正仿宋_GB2312"/>
          <w:b/>
          <w:bCs/>
          <w:sz w:val="22"/>
          <w:szCs w:val="28"/>
          <w:lang w:val="en-US" w:eastAsia="zh-CN"/>
        </w:rPr>
        <w:t>:</w:t>
      </w:r>
    </w:p>
    <w:p w14:paraId="583FA5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该文档主要描述了企业在搭建PLM系列软件中所用到的硬件配置；</w:t>
      </w:r>
    </w:p>
    <w:p w14:paraId="1CCAEB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以下推荐的硬件配置，主要是结合了PLM官方提供的系统运行要求和已经使用了</w:t>
      </w:r>
    </w:p>
    <w:p w14:paraId="2FBFFD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PLM软件的客户对于硬件配置的反馈整理而成；</w:t>
      </w:r>
    </w:p>
    <w:p w14:paraId="737C47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有以下几点需要进行说明：</w:t>
      </w:r>
    </w:p>
    <w:p w14:paraId="01C770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此次推荐的服务器运行参数为50用户左右</w:t>
      </w:r>
    </w:p>
    <w:p w14:paraId="5B251C8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使用的操作系统为64位</w:t>
      </w:r>
    </w:p>
    <w:p w14:paraId="39C3EA3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如果不在推荐的配置上运行，则无法保证所安装系统的性能</w:t>
      </w:r>
    </w:p>
    <w:p w14:paraId="2BFC3C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推荐使用主流品牌厂商的图形工作站及服务器</w:t>
      </w:r>
    </w:p>
    <w:p w14:paraId="06A63D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所推荐的硬件型号，如果生产厂商对其进行了升级换代，请参考升级换代后的型号参数</w:t>
      </w:r>
    </w:p>
    <w:p w14:paraId="32839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r>
        <w:rPr>
          <w:rFonts w:hint="eastAsia" w:ascii="方正仿宋_GB2312" w:hAnsi="方正仿宋_GB2312" w:eastAsia="方正仿宋_GB2312" w:cs="方正仿宋_GB2312"/>
          <w:b w:val="0"/>
          <w:bCs w:val="0"/>
          <w:sz w:val="22"/>
          <w:szCs w:val="28"/>
        </w:rPr>
        <w:t>软件运行效率与数据复杂度、软件相关设置及硬件配置都有关系</w:t>
      </w:r>
    </w:p>
    <w:p w14:paraId="25F359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p>
    <w:p w14:paraId="69643B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outlineLvl w:val="1"/>
        <w:rPr>
          <w:rFonts w:hint="default" w:ascii="仿宋" w:hAnsi="仿宋" w:eastAsia="仿宋" w:cs="仿宋"/>
          <w:b/>
          <w:bCs/>
          <w:sz w:val="32"/>
          <w:szCs w:val="32"/>
          <w:highlight w:val="yellow"/>
          <w:lang w:val="en-US" w:eastAsia="zh-CN"/>
        </w:rPr>
      </w:pPr>
      <w:bookmarkStart w:id="87" w:name="_Toc22976"/>
      <w:r>
        <w:rPr>
          <w:rFonts w:hint="eastAsia" w:ascii="仿宋" w:hAnsi="仿宋" w:eastAsia="仿宋" w:cs="仿宋"/>
          <w:b/>
          <w:bCs/>
          <w:sz w:val="32"/>
          <w:szCs w:val="32"/>
          <w:highlight w:val="yellow"/>
          <w:lang w:val="en-US" w:eastAsia="zh-CN"/>
        </w:rPr>
        <w:t>2.网络安全建设</w:t>
      </w:r>
      <w:bookmarkEnd w:id="87"/>
    </w:p>
    <w:p w14:paraId="669EE8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_GB2312" w:hAnsi="方正仿宋_GB2312" w:eastAsia="方正仿宋_GB2312" w:cs="方正仿宋_GB2312"/>
          <w:b w:val="0"/>
          <w:bCs w:val="0"/>
          <w:sz w:val="22"/>
          <w:szCs w:val="28"/>
        </w:rPr>
      </w:pPr>
    </w:p>
    <w:p w14:paraId="09990FCB">
      <w:pPr>
        <w:pStyle w:val="6"/>
        <w:keepNext w:val="0"/>
        <w:keepLines w:val="0"/>
        <w:widowControl/>
        <w:suppressLineNumbers w:val="0"/>
        <w:shd w:val="clear" w:fill="FFFFFF"/>
        <w:spacing w:before="240" w:beforeAutospacing="0" w:after="240" w:afterAutospacing="0"/>
        <w:ind w:left="0" w:leftChars="0" w:right="0" w:rightChars="0" w:firstLine="0" w:firstLineChars="0"/>
        <w:outlineLvl w:val="2"/>
        <w:rPr>
          <w:rStyle w:val="10"/>
          <w:rFonts w:hint="eastAsia" w:ascii="仿宋" w:hAnsi="仿宋" w:eastAsia="仿宋" w:cs="仿宋"/>
          <w:b/>
          <w:bCs/>
          <w:i w:val="0"/>
          <w:iCs w:val="0"/>
          <w:caps w:val="0"/>
          <w:color w:val="0F1115"/>
          <w:spacing w:val="0"/>
          <w:sz w:val="32"/>
          <w:szCs w:val="32"/>
          <w:highlight w:val="yellow"/>
          <w:shd w:val="clear" w:fill="FFFFFF"/>
        </w:rPr>
      </w:pPr>
      <w:bookmarkStart w:id="88" w:name="_Toc22946"/>
      <w:bookmarkStart w:id="89" w:name="_Toc224773485"/>
      <w:bookmarkStart w:id="90" w:name="_Toc15072"/>
      <w:r>
        <w:rPr>
          <w:rStyle w:val="10"/>
          <w:rFonts w:hint="eastAsia" w:ascii="仿宋" w:hAnsi="仿宋" w:eastAsia="仿宋" w:cs="仿宋"/>
          <w:b/>
          <w:bCs/>
          <w:i w:val="0"/>
          <w:iCs w:val="0"/>
          <w:caps w:val="0"/>
          <w:color w:val="0F1115"/>
          <w:spacing w:val="0"/>
          <w:sz w:val="32"/>
          <w:szCs w:val="32"/>
          <w:highlight w:val="yellow"/>
          <w:shd w:val="clear" w:fill="FFFFFF"/>
          <w:lang w:val="en-US" w:eastAsia="zh-CN"/>
        </w:rPr>
        <w:t>1.</w:t>
      </w:r>
      <w:r>
        <w:rPr>
          <w:rStyle w:val="10"/>
          <w:rFonts w:hint="eastAsia" w:ascii="仿宋" w:hAnsi="仿宋" w:eastAsia="仿宋" w:cs="仿宋"/>
          <w:b/>
          <w:bCs/>
          <w:i w:val="0"/>
          <w:iCs w:val="0"/>
          <w:caps w:val="0"/>
          <w:color w:val="0F1115"/>
          <w:spacing w:val="0"/>
          <w:sz w:val="32"/>
          <w:szCs w:val="32"/>
          <w:highlight w:val="yellow"/>
          <w:shd w:val="clear" w:fill="FFFFFF"/>
        </w:rPr>
        <w:t>网络安全防护同步建设，关键设备已部署到位</w:t>
      </w:r>
      <w:bookmarkEnd w:id="88"/>
    </w:p>
    <w:p w14:paraId="6A02523D">
      <w:pPr>
        <w:pStyle w:val="6"/>
        <w:keepNext w:val="0"/>
        <w:keepLines w:val="0"/>
        <w:widowControl/>
        <w:suppressLineNumbers w:val="0"/>
        <w:shd w:val="clear" w:fill="FFFFFF"/>
        <w:spacing w:before="240" w:beforeAutospacing="0" w:after="240" w:afterAutospacing="0"/>
        <w:ind w:left="0" w:right="0" w:firstLine="0"/>
        <w:rPr>
          <w:rFonts w:hint="eastAsia" w:ascii="仿宋" w:hAnsi="仿宋" w:eastAsia="仿宋" w:cs="仿宋"/>
          <w:sz w:val="32"/>
          <w:szCs w:val="32"/>
          <w:highlight w:val="yellow"/>
        </w:rPr>
      </w:pPr>
      <w:r>
        <w:rPr>
          <w:rStyle w:val="10"/>
          <w:rFonts w:hint="eastAsia" w:ascii="仿宋" w:hAnsi="仿宋" w:eastAsia="仿宋" w:cs="仿宋"/>
          <w:b/>
          <w:bCs/>
          <w:i w:val="0"/>
          <w:iCs w:val="0"/>
          <w:caps w:val="0"/>
          <w:color w:val="0F1115"/>
          <w:spacing w:val="0"/>
          <w:sz w:val="32"/>
          <w:szCs w:val="32"/>
          <w:highlight w:val="yellow"/>
          <w:shd w:val="clear" w:fill="FFFFFF"/>
        </w:rPr>
        <w:t>三同步原则</w:t>
      </w:r>
      <w:r>
        <w:rPr>
          <w:rFonts w:hint="eastAsia" w:ascii="仿宋" w:hAnsi="仿宋" w:eastAsia="仿宋" w:cs="仿宋"/>
          <w:i w:val="0"/>
          <w:iCs w:val="0"/>
          <w:caps w:val="0"/>
          <w:color w:val="0F1115"/>
          <w:spacing w:val="0"/>
          <w:sz w:val="32"/>
          <w:szCs w:val="32"/>
          <w:highlight w:val="yellow"/>
          <w:shd w:val="clear" w:fill="FFFFFF"/>
        </w:rPr>
        <w:t>：网络安全防护措施与PLM系统建设实现同步规划、同步建设、同步使用，确保安全能力随系统上线一并生效。</w:t>
      </w:r>
    </w:p>
    <w:p w14:paraId="6E0D1696">
      <w:pPr>
        <w:keepNext w:val="0"/>
        <w:keepLines w:val="0"/>
        <w:widowControl/>
        <w:numPr>
          <w:ilvl w:val="0"/>
          <w:numId w:val="0"/>
        </w:numPr>
        <w:suppressLineNumbers w:val="0"/>
        <w:spacing w:before="90" w:beforeAutospacing="0" w:after="0" w:afterAutospacing="1"/>
        <w:rPr>
          <w:rFonts w:hint="eastAsia" w:ascii="仿宋" w:hAnsi="仿宋" w:eastAsia="仿宋" w:cs="仿宋"/>
          <w:sz w:val="32"/>
          <w:szCs w:val="32"/>
          <w:highlight w:val="yellow"/>
        </w:rPr>
      </w:pPr>
    </w:p>
    <w:p w14:paraId="05261206">
      <w:pPr>
        <w:pStyle w:val="6"/>
        <w:keepNext w:val="0"/>
        <w:keepLines w:val="0"/>
        <w:widowControl/>
        <w:suppressLineNumbers w:val="0"/>
        <w:spacing w:before="0" w:beforeAutospacing="0" w:after="0" w:afterAutospacing="0"/>
        <w:ind w:left="0" w:right="0"/>
        <w:rPr>
          <w:rFonts w:hint="eastAsia" w:ascii="仿宋" w:hAnsi="仿宋" w:eastAsia="仿宋" w:cs="仿宋"/>
          <w:sz w:val="32"/>
          <w:szCs w:val="32"/>
          <w:highlight w:val="yellow"/>
        </w:rPr>
      </w:pPr>
      <w:r>
        <w:rPr>
          <w:rStyle w:val="10"/>
          <w:rFonts w:hint="eastAsia" w:ascii="仿宋" w:hAnsi="仿宋" w:eastAsia="仿宋" w:cs="仿宋"/>
          <w:b/>
          <w:bCs/>
          <w:i w:val="0"/>
          <w:iCs w:val="0"/>
          <w:caps w:val="0"/>
          <w:color w:val="0F1115"/>
          <w:spacing w:val="0"/>
          <w:sz w:val="32"/>
          <w:szCs w:val="32"/>
          <w:highlight w:val="yellow"/>
          <w:shd w:val="clear" w:fill="FFFFFF"/>
        </w:rPr>
        <w:t>网络边界与内部安全</w:t>
      </w:r>
      <w:r>
        <w:rPr>
          <w:rFonts w:hint="eastAsia" w:ascii="仿宋" w:hAnsi="仿宋" w:eastAsia="仿宋" w:cs="仿宋"/>
          <w:i w:val="0"/>
          <w:iCs w:val="0"/>
          <w:caps w:val="0"/>
          <w:color w:val="0F1115"/>
          <w:spacing w:val="0"/>
          <w:sz w:val="32"/>
          <w:szCs w:val="32"/>
          <w:highlight w:val="yellow"/>
          <w:shd w:val="clear" w:fill="FFFFFF"/>
        </w:rPr>
        <w:t>：部署</w:t>
      </w:r>
      <w:r>
        <w:rPr>
          <w:rStyle w:val="10"/>
          <w:rFonts w:hint="eastAsia" w:ascii="仿宋" w:hAnsi="仿宋" w:eastAsia="仿宋" w:cs="仿宋"/>
          <w:b/>
          <w:bCs/>
          <w:i w:val="0"/>
          <w:iCs w:val="0"/>
          <w:caps w:val="0"/>
          <w:color w:val="0F1115"/>
          <w:spacing w:val="0"/>
          <w:sz w:val="32"/>
          <w:szCs w:val="32"/>
          <w:highlight w:val="yellow"/>
          <w:shd w:val="clear" w:fill="FFFFFF"/>
        </w:rPr>
        <w:t>国产防火墙</w:t>
      </w:r>
      <w:r>
        <w:rPr>
          <w:rFonts w:hint="eastAsia" w:ascii="仿宋" w:hAnsi="仿宋" w:eastAsia="仿宋" w:cs="仿宋"/>
          <w:i w:val="0"/>
          <w:iCs w:val="0"/>
          <w:caps w:val="0"/>
          <w:color w:val="0F1115"/>
          <w:spacing w:val="0"/>
          <w:sz w:val="32"/>
          <w:szCs w:val="32"/>
          <w:highlight w:val="yellow"/>
          <w:shd w:val="clear" w:fill="FFFFFF"/>
        </w:rPr>
        <w:t>，实现网络边界访问控制、入侵防御、安全策略管理；同步完成</w:t>
      </w:r>
      <w:r>
        <w:rPr>
          <w:rStyle w:val="10"/>
          <w:rFonts w:hint="eastAsia" w:ascii="仿宋" w:hAnsi="仿宋" w:eastAsia="仿宋" w:cs="仿宋"/>
          <w:b/>
          <w:bCs/>
          <w:i w:val="0"/>
          <w:iCs w:val="0"/>
          <w:caps w:val="0"/>
          <w:color w:val="0F1115"/>
          <w:spacing w:val="0"/>
          <w:sz w:val="32"/>
          <w:szCs w:val="32"/>
          <w:highlight w:val="yellow"/>
          <w:shd w:val="clear" w:fill="FFFFFF"/>
        </w:rPr>
        <w:t>国产交换机</w:t>
      </w:r>
      <w:r>
        <w:rPr>
          <w:rFonts w:hint="eastAsia" w:ascii="仿宋" w:hAnsi="仿宋" w:eastAsia="仿宋" w:cs="仿宋"/>
          <w:i w:val="0"/>
          <w:iCs w:val="0"/>
          <w:caps w:val="0"/>
          <w:color w:val="0F1115"/>
          <w:spacing w:val="0"/>
          <w:sz w:val="32"/>
          <w:szCs w:val="32"/>
          <w:highlight w:val="yellow"/>
          <w:shd w:val="clear" w:fill="FFFFFF"/>
        </w:rPr>
        <w:t>部署，支撑系统内部网络分区与安全域划分，满足网络隔离要求。</w:t>
      </w:r>
    </w:p>
    <w:p w14:paraId="162F6D6D">
      <w:pPr>
        <w:pStyle w:val="6"/>
        <w:keepNext w:val="0"/>
        <w:keepLines w:val="0"/>
        <w:widowControl/>
        <w:suppressLineNumbers w:val="0"/>
        <w:spacing w:before="0" w:beforeAutospacing="0" w:after="0" w:afterAutospacing="0"/>
        <w:ind w:left="0" w:right="0"/>
        <w:rPr>
          <w:rFonts w:hint="eastAsia" w:ascii="仿宋" w:hAnsi="仿宋" w:eastAsia="仿宋" w:cs="仿宋"/>
          <w:sz w:val="32"/>
          <w:szCs w:val="32"/>
          <w:highlight w:val="yellow"/>
        </w:rPr>
      </w:pPr>
      <w:r>
        <w:rPr>
          <w:rStyle w:val="10"/>
          <w:rFonts w:hint="eastAsia" w:ascii="仿宋" w:hAnsi="仿宋" w:eastAsia="仿宋" w:cs="仿宋"/>
          <w:b/>
          <w:bCs/>
          <w:i w:val="0"/>
          <w:iCs w:val="0"/>
          <w:caps w:val="0"/>
          <w:color w:val="0F1115"/>
          <w:spacing w:val="0"/>
          <w:sz w:val="32"/>
          <w:szCs w:val="32"/>
          <w:highlight w:val="yellow"/>
          <w:shd w:val="clear" w:fill="FFFFFF"/>
        </w:rPr>
        <w:t>终端与数据安全</w:t>
      </w:r>
      <w:r>
        <w:rPr>
          <w:rFonts w:hint="eastAsia" w:ascii="仿宋" w:hAnsi="仿宋" w:eastAsia="仿宋" w:cs="仿宋"/>
          <w:i w:val="0"/>
          <w:iCs w:val="0"/>
          <w:caps w:val="0"/>
          <w:color w:val="0F1115"/>
          <w:spacing w:val="0"/>
          <w:sz w:val="32"/>
          <w:szCs w:val="32"/>
          <w:highlight w:val="yellow"/>
          <w:shd w:val="clear" w:fill="FFFFFF"/>
        </w:rPr>
        <w:t>：部署</w:t>
      </w:r>
      <w:r>
        <w:rPr>
          <w:rStyle w:val="10"/>
          <w:rFonts w:hint="eastAsia" w:ascii="仿宋" w:hAnsi="仿宋" w:eastAsia="仿宋" w:cs="仿宋"/>
          <w:b/>
          <w:bCs/>
          <w:i w:val="0"/>
          <w:iCs w:val="0"/>
          <w:caps w:val="0"/>
          <w:color w:val="0F1115"/>
          <w:spacing w:val="0"/>
          <w:sz w:val="32"/>
          <w:szCs w:val="32"/>
          <w:highlight w:val="yellow"/>
          <w:shd w:val="clear" w:fill="FFFFFF"/>
        </w:rPr>
        <w:t>深信服AES终端安全及文件防泄密模块</w:t>
      </w:r>
      <w:r>
        <w:rPr>
          <w:rFonts w:hint="eastAsia" w:ascii="仿宋" w:hAnsi="仿宋" w:eastAsia="仿宋" w:cs="仿宋"/>
          <w:i w:val="0"/>
          <w:iCs w:val="0"/>
          <w:caps w:val="0"/>
          <w:color w:val="0F1115"/>
          <w:spacing w:val="0"/>
          <w:sz w:val="32"/>
          <w:szCs w:val="32"/>
          <w:highlight w:val="yellow"/>
          <w:shd w:val="clear" w:fill="FFFFFF"/>
        </w:rPr>
        <w:t>，实现终端安全防护、敏感文件管控、外发行为审计，防范数据泄露风险。</w:t>
      </w:r>
    </w:p>
    <w:p w14:paraId="222FC2A9">
      <w:pPr>
        <w:pStyle w:val="6"/>
        <w:keepNext w:val="0"/>
        <w:keepLines w:val="0"/>
        <w:widowControl/>
        <w:suppressLineNumbers w:val="0"/>
        <w:shd w:val="clear" w:fill="FFFFFF"/>
        <w:spacing w:before="240" w:beforeAutospacing="0" w:after="240" w:afterAutospacing="0"/>
        <w:ind w:left="0" w:leftChars="0" w:right="0" w:rightChars="0" w:firstLine="0" w:firstLineChars="0"/>
        <w:outlineLvl w:val="2"/>
        <w:rPr>
          <w:rFonts w:hint="eastAsia" w:ascii="仿宋" w:hAnsi="仿宋" w:eastAsia="仿宋" w:cs="仿宋"/>
          <w:sz w:val="32"/>
          <w:szCs w:val="32"/>
          <w:highlight w:val="yellow"/>
        </w:rPr>
      </w:pPr>
      <w:bookmarkStart w:id="91" w:name="_Toc22526"/>
      <w:r>
        <w:rPr>
          <w:rStyle w:val="10"/>
          <w:rFonts w:hint="eastAsia" w:ascii="仿宋" w:hAnsi="仿宋" w:eastAsia="仿宋" w:cs="仿宋"/>
          <w:b/>
          <w:bCs/>
          <w:i w:val="0"/>
          <w:iCs w:val="0"/>
          <w:caps w:val="0"/>
          <w:color w:val="0F1115"/>
          <w:spacing w:val="0"/>
          <w:sz w:val="32"/>
          <w:szCs w:val="32"/>
          <w:highlight w:val="yellow"/>
          <w:shd w:val="clear" w:fill="FFFFFF"/>
          <w:lang w:val="en-US" w:eastAsia="zh-CN"/>
        </w:rPr>
        <w:t>2</w:t>
      </w:r>
      <w:r>
        <w:rPr>
          <w:rStyle w:val="10"/>
          <w:rFonts w:hint="eastAsia" w:ascii="仿宋" w:hAnsi="仿宋" w:eastAsia="仿宋" w:cs="仿宋"/>
          <w:b/>
          <w:bCs/>
          <w:i w:val="0"/>
          <w:iCs w:val="0"/>
          <w:caps w:val="0"/>
          <w:color w:val="0F1115"/>
          <w:spacing w:val="0"/>
          <w:sz w:val="32"/>
          <w:szCs w:val="32"/>
          <w:highlight w:val="yellow"/>
          <w:shd w:val="clear" w:fill="FFFFFF"/>
        </w:rPr>
        <w:t>. 确保建成后达到等保二级标准</w:t>
      </w:r>
      <w:bookmarkEnd w:id="91"/>
    </w:p>
    <w:p w14:paraId="49A424AF">
      <w:pPr>
        <w:pStyle w:val="6"/>
        <w:keepNext w:val="0"/>
        <w:keepLines w:val="0"/>
        <w:widowControl/>
        <w:suppressLineNumbers w:val="0"/>
        <w:spacing w:before="0" w:beforeAutospacing="0" w:after="0" w:afterAutospacing="0"/>
        <w:ind w:left="0" w:right="0"/>
        <w:rPr>
          <w:rFonts w:hint="eastAsia" w:ascii="仿宋" w:hAnsi="仿宋" w:eastAsia="仿宋" w:cs="仿宋"/>
          <w:i w:val="0"/>
          <w:iCs w:val="0"/>
          <w:caps w:val="0"/>
          <w:color w:val="0F1115"/>
          <w:spacing w:val="0"/>
          <w:sz w:val="32"/>
          <w:szCs w:val="32"/>
          <w:highlight w:val="yellow"/>
          <w:shd w:val="clear" w:fill="FFFFFF"/>
        </w:rPr>
      </w:pPr>
      <w:r>
        <w:rPr>
          <w:rStyle w:val="10"/>
          <w:rFonts w:hint="eastAsia" w:ascii="仿宋" w:hAnsi="仿宋" w:eastAsia="仿宋" w:cs="仿宋"/>
          <w:b/>
          <w:bCs/>
          <w:i w:val="0"/>
          <w:iCs w:val="0"/>
          <w:caps w:val="0"/>
          <w:color w:val="0F1115"/>
          <w:spacing w:val="0"/>
          <w:sz w:val="32"/>
          <w:szCs w:val="32"/>
          <w:highlight w:val="yellow"/>
          <w:shd w:val="clear" w:fill="FFFFFF"/>
        </w:rPr>
        <w:t>对标建设</w:t>
      </w:r>
      <w:r>
        <w:rPr>
          <w:rFonts w:hint="eastAsia" w:ascii="仿宋" w:hAnsi="仿宋" w:eastAsia="仿宋" w:cs="仿宋"/>
          <w:i w:val="0"/>
          <w:iCs w:val="0"/>
          <w:caps w:val="0"/>
          <w:color w:val="0F1115"/>
          <w:spacing w:val="0"/>
          <w:sz w:val="32"/>
          <w:szCs w:val="32"/>
          <w:highlight w:val="yellow"/>
          <w:shd w:val="clear" w:fill="FFFFFF"/>
        </w:rPr>
        <w:t>：按照《网络安全等级保护基本要求》第二级标准，从物理安全、网络安全、主机安全、应用安全、数据安全等维度开展建设。</w:t>
      </w:r>
    </w:p>
    <w:p w14:paraId="0A0A2577">
      <w:pPr>
        <w:pStyle w:val="6"/>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fill="FFFFFF"/>
        </w:rPr>
      </w:pPr>
    </w:p>
    <w:p w14:paraId="235B7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eastAsia" w:ascii="黑体" w:hAnsi="黑体" w:eastAsia="黑体" w:cs="黑体"/>
          <w:sz w:val="32"/>
          <w:szCs w:val="32"/>
          <w:lang w:val="en-US" w:eastAsia="zh-CN"/>
        </w:rPr>
      </w:pPr>
      <w:bookmarkStart w:id="92" w:name="_Toc25363"/>
      <w:r>
        <w:rPr>
          <w:rFonts w:hint="eastAsia" w:ascii="黑体" w:hAnsi="黑体" w:eastAsia="黑体" w:cs="黑体"/>
          <w:sz w:val="32"/>
          <w:szCs w:val="32"/>
          <w:lang w:val="en-US" w:eastAsia="zh-CN"/>
        </w:rPr>
        <w:t>六、实施与服务需求</w:t>
      </w:r>
      <w:bookmarkEnd w:id="84"/>
      <w:bookmarkEnd w:id="85"/>
      <w:bookmarkEnd w:id="89"/>
      <w:bookmarkEnd w:id="90"/>
      <w:bookmarkEnd w:id="92"/>
    </w:p>
    <w:p w14:paraId="64AA72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lang w:val="en-US" w:eastAsia="zh-CN"/>
        </w:rPr>
      </w:pPr>
      <w:bookmarkStart w:id="93" w:name="_Toc28359"/>
      <w:bookmarkStart w:id="94" w:name="_Toc224773486"/>
      <w:r>
        <w:rPr>
          <w:rFonts w:hint="eastAsia" w:ascii="方正楷体_GB2312" w:hAnsi="方正楷体_GB2312" w:eastAsia="方正楷体_GB2312" w:cs="方正楷体_GB2312"/>
          <w:b/>
          <w:bCs/>
          <w:sz w:val="32"/>
          <w:szCs w:val="32"/>
          <w:lang w:val="en-US" w:eastAsia="zh-CN"/>
        </w:rPr>
        <w:t>（一）实施方式与策略</w:t>
      </w:r>
      <w:bookmarkEnd w:id="93"/>
      <w:bookmarkEnd w:id="94"/>
    </w:p>
    <w:p w14:paraId="7DB7CD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1.实施方式:</w:t>
      </w:r>
      <w:r>
        <w:rPr>
          <w:rFonts w:hint="eastAsia" w:ascii="方正仿宋_GB2312" w:hAnsi="方正仿宋_GB2312" w:eastAsia="方正仿宋_GB2312" w:cs="方正仿宋_GB2312"/>
          <w:sz w:val="32"/>
          <w:szCs w:val="32"/>
          <w:lang w:val="en-US" w:eastAsia="zh-CN"/>
        </w:rPr>
        <w:t>本次项目，将结合市场上医疗设备行业先进同行的系统建设经验，结合公司自身发展的研发业务方向，同时考虑未来公司发展进行系统建设。</w:t>
      </w:r>
    </w:p>
    <w:p w14:paraId="2806FCA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2.实施策略:</w:t>
      </w:r>
      <w:r>
        <w:rPr>
          <w:rFonts w:hint="eastAsia" w:ascii="方正仿宋_GB2312" w:hAnsi="方正仿宋_GB2312" w:eastAsia="方正仿宋_GB2312" w:cs="方正仿宋_GB2312"/>
          <w:sz w:val="32"/>
          <w:szCs w:val="32"/>
          <w:lang w:val="en-US" w:eastAsia="zh-CN"/>
        </w:rPr>
        <w:t>以项目成功为目标，结合实际情况和业务需求，统一规划，分步实施。</w:t>
      </w:r>
    </w:p>
    <w:p w14:paraId="2F1725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（1）启动阶段以新产品项目启用，熟悉并优化管理模型，全产品逐步推广。</w:t>
      </w:r>
    </w:p>
    <w:p w14:paraId="260E2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（2）历史数据整理并导入系统，实现全部产品高效管理，实现数据源的统一。</w:t>
      </w:r>
    </w:p>
    <w:p w14:paraId="0765D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（3）部门协同，立足研发中心，与协同的生产、工艺、采购等部门密切配合。</w:t>
      </w:r>
    </w:p>
    <w:p w14:paraId="68D9D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（4）一把手工程，PLM研发管理系统不仅仅是信息系统，更是研发业务的核心管理工具，实施过程就是流程构建和梳理管理的过程，需要高层的输入和支持。</w:t>
      </w:r>
    </w:p>
    <w:p w14:paraId="6A27A2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11FD253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lang w:val="en-US" w:eastAsia="zh-CN"/>
        </w:rPr>
      </w:pPr>
      <w:bookmarkStart w:id="95" w:name="_Toc18045"/>
      <w:bookmarkStart w:id="96" w:name="_Toc225364437"/>
      <w:r>
        <w:rPr>
          <w:rFonts w:hint="eastAsia" w:ascii="方正楷体_GB2312" w:hAnsi="方正楷体_GB2312" w:eastAsia="方正楷体_GB2312" w:cs="方正楷体_GB2312"/>
          <w:b/>
          <w:bCs/>
          <w:sz w:val="32"/>
          <w:szCs w:val="32"/>
          <w:lang w:val="en-US" w:eastAsia="zh-CN"/>
        </w:rPr>
        <w:t>（二）研发数据迁移规划</w:t>
      </w:r>
      <w:bookmarkEnd w:id="95"/>
      <w:bookmarkEnd w:id="96"/>
    </w:p>
    <w:p w14:paraId="3FCD9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核心原则：极简起步、先理后迁、分步落地、风险可控，重点解决“历史数据杂乱、无规范、迁移后能快速用起来”的核心需求，同时贴合好博公司的管理要求。</w:t>
      </w:r>
    </w:p>
    <w:p w14:paraId="1E1CDF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方正仿宋_GB2312" w:hAnsi="方正仿宋_GB2312" w:eastAsia="方正仿宋_GB2312" w:cs="方正仿宋_GB2312"/>
          <w:sz w:val="32"/>
          <w:szCs w:val="32"/>
          <w:lang w:val="en-US" w:eastAsia="zh-CN"/>
        </w:rPr>
      </w:pPr>
      <w:bookmarkStart w:id="97" w:name="_Toc2519"/>
      <w:r>
        <w:rPr>
          <w:rFonts w:hint="eastAsia" w:ascii="方正仿宋_GB2312" w:hAnsi="方正仿宋_GB2312" w:eastAsia="方正仿宋_GB2312" w:cs="方正仿宋_GB2312"/>
          <w:sz w:val="32"/>
          <w:szCs w:val="32"/>
          <w:lang w:val="en-US" w:eastAsia="zh-CN"/>
        </w:rPr>
        <w:t>1、迁移核心目标（简单明确，不复杂）</w:t>
      </w:r>
      <w:bookmarkEnd w:id="97"/>
    </w:p>
    <w:p w14:paraId="54A7FA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将分散在个人电脑、共享文件夹、U盘的研发数据（图纸、BOM、文档、测试报告等），统一迁移至新PLM系统，结束数据孤岛。</w:t>
      </w:r>
    </w:p>
    <w:p w14:paraId="4B43F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迁移过程中完成分类、命名规范，确保数据可查可用、符合管理要求。</w:t>
      </w:r>
    </w:p>
    <w:p w14:paraId="2CA310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35B665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60CCC4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0A03A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方正仿宋_GB2312" w:hAnsi="方正仿宋_GB2312" w:eastAsia="方正仿宋_GB2312" w:cs="方正仿宋_GB2312"/>
          <w:sz w:val="32"/>
          <w:szCs w:val="32"/>
          <w:lang w:val="en-US" w:eastAsia="zh-CN"/>
        </w:rPr>
      </w:pPr>
      <w:bookmarkStart w:id="98" w:name="_Toc28555"/>
      <w:r>
        <w:rPr>
          <w:rFonts w:hint="eastAsia" w:ascii="方正仿宋_GB2312" w:hAnsi="方正仿宋_GB2312" w:eastAsia="方正仿宋_GB2312" w:cs="方正仿宋_GB2312"/>
          <w:sz w:val="32"/>
          <w:szCs w:val="32"/>
          <w:lang w:val="en-US" w:eastAsia="zh-CN"/>
        </w:rPr>
        <w:t>2、迁移规划</w:t>
      </w:r>
      <w:bookmarkEnd w:id="98"/>
    </w:p>
    <w:tbl>
      <w:tblPr>
        <w:tblStyle w:val="7"/>
        <w:tblW w:w="8767" w:type="dxa"/>
        <w:tblInd w:w="0" w:type="dxa"/>
        <w:tblLayout w:type="autofit"/>
        <w:tblCellMar>
          <w:top w:w="15" w:type="dxa"/>
          <w:left w:w="15" w:type="dxa"/>
          <w:bottom w:w="15" w:type="dxa"/>
          <w:right w:w="15" w:type="dxa"/>
        </w:tblCellMar>
      </w:tblPr>
      <w:tblGrid>
        <w:gridCol w:w="1420"/>
        <w:gridCol w:w="2102"/>
        <w:gridCol w:w="5245"/>
      </w:tblGrid>
      <w:tr w14:paraId="1926CD85">
        <w:tblPrEx>
          <w:tblCellMar>
            <w:top w:w="15" w:type="dxa"/>
            <w:left w:w="15" w:type="dxa"/>
            <w:bottom w:w="15" w:type="dxa"/>
            <w:right w:w="15" w:type="dxa"/>
          </w:tblCellMar>
        </w:tblPrEx>
        <w:trPr>
          <w:trHeight w:val="429" w:hRule="atLeast"/>
          <w:tblHeader/>
        </w:trPr>
        <w:tc>
          <w:tcPr>
            <w:tcW w:w="1420"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4847574E">
            <w:pPr>
              <w:jc w:val="center"/>
              <w:rPr>
                <w:rFonts w:ascii="Arial" w:hAnsi="Arial" w:eastAsia="等线" w:cs="Arial"/>
                <w:highlight w:val="none"/>
              </w:rPr>
            </w:pPr>
            <w:r>
              <w:rPr>
                <w:rFonts w:hint="eastAsia" w:ascii="Arial" w:hAnsi="Arial" w:eastAsia="等线" w:cs="Arial"/>
                <w:highlight w:val="none"/>
              </w:rPr>
              <w:t>阶段</w:t>
            </w:r>
          </w:p>
        </w:tc>
        <w:tc>
          <w:tcPr>
            <w:tcW w:w="2102"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69F4B552">
            <w:pPr>
              <w:jc w:val="center"/>
              <w:rPr>
                <w:rFonts w:ascii="Arial" w:hAnsi="Arial" w:eastAsia="等线" w:cs="Arial"/>
                <w:highlight w:val="none"/>
              </w:rPr>
            </w:pPr>
            <w:r>
              <w:rPr>
                <w:rFonts w:ascii="Arial" w:hAnsi="Arial" w:eastAsia="等线" w:cs="Arial"/>
                <w:highlight w:val="none"/>
              </w:rPr>
              <w:t>核心工作</w:t>
            </w:r>
          </w:p>
        </w:tc>
        <w:tc>
          <w:tcPr>
            <w:tcW w:w="5245" w:type="dxa"/>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vAlign w:val="center"/>
          </w:tcPr>
          <w:p w14:paraId="6BDD0572">
            <w:pPr>
              <w:pStyle w:val="11"/>
              <w:ind w:left="880" w:firstLine="440"/>
              <w:jc w:val="center"/>
              <w:rPr>
                <w:rFonts w:ascii="Arial" w:hAnsi="Arial" w:eastAsia="等线" w:cs="Arial"/>
                <w:highlight w:val="none"/>
              </w:rPr>
            </w:pPr>
            <w:r>
              <w:rPr>
                <w:rFonts w:ascii="Arial" w:hAnsi="Arial" w:eastAsia="等线" w:cs="Arial"/>
                <w:highlight w:val="none"/>
              </w:rPr>
              <w:t>关键动作</w:t>
            </w:r>
          </w:p>
        </w:tc>
      </w:tr>
      <w:tr w14:paraId="59072BBB">
        <w:tblPrEx>
          <w:tblCellMar>
            <w:top w:w="15" w:type="dxa"/>
            <w:left w:w="15" w:type="dxa"/>
            <w:bottom w:w="15" w:type="dxa"/>
            <w:right w:w="15" w:type="dxa"/>
          </w:tblCellMar>
        </w:tblPrEx>
        <w:trPr>
          <w:trHeight w:val="585" w:hRule="atLeast"/>
        </w:trPr>
        <w:tc>
          <w:tcPr>
            <w:tcW w:w="1420"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0A71866">
            <w:pPr>
              <w:jc w:val="center"/>
              <w:rPr>
                <w:rFonts w:ascii="Arial" w:hAnsi="Arial" w:eastAsia="等线" w:cs="Arial"/>
                <w:highlight w:val="none"/>
              </w:rPr>
            </w:pPr>
            <w:r>
              <w:rPr>
                <w:rFonts w:hint="eastAsia" w:ascii="Arial" w:hAnsi="Arial" w:eastAsia="等线" w:cs="Arial"/>
                <w:highlight w:val="none"/>
              </w:rPr>
              <w:t>准备阶段</w:t>
            </w:r>
          </w:p>
        </w:tc>
        <w:tc>
          <w:tcPr>
            <w:tcW w:w="2102"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37838C2">
            <w:pPr>
              <w:rPr>
                <w:rFonts w:ascii="Arial" w:hAnsi="Arial" w:eastAsia="等线" w:cs="Arial"/>
                <w:highlight w:val="none"/>
              </w:rPr>
            </w:pPr>
            <w:r>
              <w:rPr>
                <w:rFonts w:ascii="Arial" w:hAnsi="Arial" w:eastAsia="等线" w:cs="Arial"/>
                <w:highlight w:val="none"/>
              </w:rPr>
              <w:t>理数据、定规则、做培训</w:t>
            </w:r>
          </w:p>
        </w:tc>
        <w:tc>
          <w:tcPr>
            <w:tcW w:w="5245"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6265E95">
            <w:pPr>
              <w:rPr>
                <w:rFonts w:ascii="Arial" w:hAnsi="Arial" w:eastAsia="等线" w:cs="Arial"/>
                <w:highlight w:val="none"/>
              </w:rPr>
            </w:pPr>
            <w:r>
              <w:rPr>
                <w:rFonts w:ascii="Arial" w:hAnsi="Arial" w:eastAsia="等线" w:cs="Arial"/>
                <w:highlight w:val="none"/>
              </w:rPr>
              <w:t>1. 梳理所有研发数据；2. 制定简单命名/分类规则；3. 全员基础P</w:t>
            </w:r>
            <w:r>
              <w:rPr>
                <w:rFonts w:hint="eastAsia" w:ascii="Arial" w:hAnsi="Arial" w:eastAsia="等线" w:cs="Arial"/>
                <w:highlight w:val="none"/>
              </w:rPr>
              <w:t>L</w:t>
            </w:r>
            <w:r>
              <w:rPr>
                <w:rFonts w:ascii="Arial" w:hAnsi="Arial" w:eastAsia="等线" w:cs="Arial"/>
                <w:highlight w:val="none"/>
              </w:rPr>
              <w:t>M操作培训</w:t>
            </w:r>
          </w:p>
        </w:tc>
      </w:tr>
      <w:tr w14:paraId="5A4EF123">
        <w:tblPrEx>
          <w:tblCellMar>
            <w:top w:w="15" w:type="dxa"/>
            <w:left w:w="15" w:type="dxa"/>
            <w:bottom w:w="15" w:type="dxa"/>
            <w:right w:w="15" w:type="dxa"/>
          </w:tblCellMar>
        </w:tblPrEx>
        <w:trPr>
          <w:trHeight w:val="825" w:hRule="atLeast"/>
        </w:trPr>
        <w:tc>
          <w:tcPr>
            <w:tcW w:w="1420"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3258838">
            <w:pPr>
              <w:jc w:val="center"/>
              <w:rPr>
                <w:rFonts w:ascii="Arial" w:hAnsi="Arial" w:eastAsia="等线" w:cs="Arial"/>
                <w:highlight w:val="none"/>
              </w:rPr>
            </w:pPr>
            <w:r>
              <w:rPr>
                <w:rFonts w:ascii="Arial" w:hAnsi="Arial" w:eastAsia="等线" w:cs="Arial"/>
                <w:highlight w:val="none"/>
              </w:rPr>
              <w:t>迁移阶段</w:t>
            </w:r>
          </w:p>
        </w:tc>
        <w:tc>
          <w:tcPr>
            <w:tcW w:w="2102"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73F6290">
            <w:pPr>
              <w:rPr>
                <w:rFonts w:ascii="Arial" w:hAnsi="Arial" w:eastAsia="等线" w:cs="Arial"/>
                <w:highlight w:val="none"/>
              </w:rPr>
            </w:pPr>
            <w:r>
              <w:rPr>
                <w:rFonts w:ascii="Arial" w:hAnsi="Arial" w:eastAsia="等线" w:cs="Arial"/>
                <w:highlight w:val="none"/>
              </w:rPr>
              <w:t>分批次、分类型迁移数据</w:t>
            </w:r>
          </w:p>
        </w:tc>
        <w:tc>
          <w:tcPr>
            <w:tcW w:w="5245"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5B4F606">
            <w:pPr>
              <w:rPr>
                <w:rFonts w:ascii="Arial" w:hAnsi="Arial" w:eastAsia="等线" w:cs="Arial"/>
                <w:highlight w:val="none"/>
              </w:rPr>
            </w:pPr>
            <w:r>
              <w:rPr>
                <w:rFonts w:ascii="Arial" w:hAnsi="Arial" w:eastAsia="等线" w:cs="Arial"/>
                <w:highlight w:val="none"/>
              </w:rPr>
              <w:t>1. 先迁核心数据（在用产品图纸/BOM）；2. 再迁历史数据；3. 迁移后简单核对</w:t>
            </w:r>
          </w:p>
        </w:tc>
      </w:tr>
      <w:tr w14:paraId="57C5DEAD">
        <w:tblPrEx>
          <w:tblCellMar>
            <w:top w:w="15" w:type="dxa"/>
            <w:left w:w="15" w:type="dxa"/>
            <w:bottom w:w="15" w:type="dxa"/>
            <w:right w:w="15" w:type="dxa"/>
          </w:tblCellMar>
        </w:tblPrEx>
        <w:trPr>
          <w:trHeight w:val="585" w:hRule="atLeast"/>
        </w:trPr>
        <w:tc>
          <w:tcPr>
            <w:tcW w:w="1420"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185A4F5">
            <w:pPr>
              <w:jc w:val="center"/>
              <w:rPr>
                <w:rFonts w:ascii="Arial" w:hAnsi="Arial" w:eastAsia="等线" w:cs="Arial"/>
                <w:highlight w:val="none"/>
              </w:rPr>
            </w:pPr>
            <w:r>
              <w:rPr>
                <w:rFonts w:ascii="Arial" w:hAnsi="Arial" w:eastAsia="等线" w:cs="Arial"/>
                <w:highlight w:val="none"/>
              </w:rPr>
              <w:t>验收阶段</w:t>
            </w:r>
          </w:p>
        </w:tc>
        <w:tc>
          <w:tcPr>
            <w:tcW w:w="2102"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BBC103E">
            <w:pPr>
              <w:rPr>
                <w:rFonts w:ascii="Arial" w:hAnsi="Arial" w:eastAsia="等线" w:cs="Arial"/>
                <w:highlight w:val="none"/>
              </w:rPr>
            </w:pPr>
            <w:r>
              <w:rPr>
                <w:rFonts w:ascii="Arial" w:hAnsi="Arial" w:eastAsia="等线" w:cs="Arial"/>
                <w:highlight w:val="none"/>
              </w:rPr>
              <w:t>核对数据、优化调整、正式启用</w:t>
            </w:r>
          </w:p>
        </w:tc>
        <w:tc>
          <w:tcPr>
            <w:tcW w:w="5245" w:type="dxa"/>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8C7E5C0">
            <w:pPr>
              <w:rPr>
                <w:rFonts w:ascii="Arial" w:hAnsi="Arial" w:eastAsia="等线" w:cs="Arial"/>
                <w:highlight w:val="none"/>
              </w:rPr>
            </w:pPr>
            <w:r>
              <w:rPr>
                <w:rFonts w:ascii="Arial" w:hAnsi="Arial" w:eastAsia="等线" w:cs="Arial"/>
                <w:highlight w:val="none"/>
              </w:rPr>
              <w:t>1. 全员核对负责的数据；2. 解决迁移问题；3. 停止旧数据存储，正式用P</w:t>
            </w:r>
            <w:r>
              <w:rPr>
                <w:rFonts w:hint="eastAsia" w:ascii="Arial" w:hAnsi="Arial" w:eastAsia="等线" w:cs="Arial"/>
                <w:highlight w:val="none"/>
              </w:rPr>
              <w:t>L</w:t>
            </w:r>
            <w:r>
              <w:rPr>
                <w:rFonts w:ascii="Arial" w:hAnsi="Arial" w:eastAsia="等线" w:cs="Arial"/>
                <w:highlight w:val="none"/>
              </w:rPr>
              <w:t>M</w:t>
            </w:r>
          </w:p>
        </w:tc>
      </w:tr>
    </w:tbl>
    <w:p w14:paraId="54F69F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199BCE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08A12F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lang w:val="en-US" w:eastAsia="zh-CN"/>
        </w:rPr>
      </w:pPr>
      <w:bookmarkStart w:id="99" w:name="_Toc16793"/>
      <w:r>
        <w:rPr>
          <w:rFonts w:hint="eastAsia" w:ascii="方正楷体_GB2312" w:hAnsi="方正楷体_GB2312" w:eastAsia="方正楷体_GB2312" w:cs="方正楷体_GB2312"/>
          <w:b/>
          <w:bCs/>
          <w:sz w:val="32"/>
          <w:szCs w:val="32"/>
          <w:lang w:val="en-US" w:eastAsia="zh-CN"/>
        </w:rPr>
        <w:t>（三）实施周期</w:t>
      </w:r>
      <w:bookmarkEnd w:id="99"/>
    </w:p>
    <w:p w14:paraId="2A99E6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遵循PLM研发管理系统的成功应用经验，以成功客户应用经验为参考，比如微创医疗、安康医疗、杰美医疗等机构后，本项目初定以下总体建设计划：</w:t>
      </w:r>
    </w:p>
    <w:p w14:paraId="6D36EE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实施周期预估需要3月，上线试运行后持续进行优化。预计2026年6月底完成实施交付使用。</w:t>
      </w:r>
    </w:p>
    <w:p w14:paraId="2700FA5F">
      <w:pPr>
        <w:pStyle w:val="11"/>
        <w:spacing w:before="120" w:after="120" w:line="288" w:lineRule="auto"/>
        <w:ind w:left="0" w:leftChars="0" w:firstLine="0" w:firstLineChars="0"/>
        <w:jc w:val="center"/>
        <w:rPr>
          <w:rFonts w:hint="eastAsia"/>
        </w:rPr>
      </w:pPr>
      <w:r>
        <w:drawing>
          <wp:inline distT="0" distB="0" distL="0" distR="0">
            <wp:extent cx="5445125" cy="1976755"/>
            <wp:effectExtent l="0" t="0" r="3175" b="4445"/>
            <wp:docPr id="9815801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80155" name="图片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501016" cy="1997507"/>
                    </a:xfrm>
                    <a:prstGeom prst="rect">
                      <a:avLst/>
                    </a:prstGeom>
                  </pic:spPr>
                </pic:pic>
              </a:graphicData>
            </a:graphic>
          </wp:inline>
        </w:drawing>
      </w:r>
    </w:p>
    <w:p w14:paraId="6F7ADDBC">
      <w:pPr>
        <w:pStyle w:val="11"/>
        <w:numPr>
          <w:ilvl w:val="0"/>
          <w:numId w:val="0"/>
        </w:numPr>
        <w:spacing w:before="120" w:after="120" w:line="288" w:lineRule="auto"/>
        <w:ind w:left="440" w:leftChars="0" w:hanging="440" w:firstLineChars="0"/>
        <w:rPr>
          <w:rFonts w:hint="eastAsia" w:ascii="方正仿宋_GB2312" w:hAnsi="方正仿宋_GB2312" w:eastAsia="方正仿宋_GB2312" w:cs="方正仿宋_GB2312"/>
          <w:b/>
          <w:bCs/>
          <w:sz w:val="24"/>
          <w:szCs w:val="32"/>
        </w:rPr>
      </w:pPr>
      <w:r>
        <w:rPr>
          <w:rFonts w:hint="eastAsia" w:ascii="方正仿宋_GB2312" w:hAnsi="方正仿宋_GB2312" w:eastAsia="方正仿宋_GB2312" w:cs="方正仿宋_GB2312"/>
          <w:b/>
          <w:bCs/>
          <w:sz w:val="24"/>
          <w:szCs w:val="32"/>
        </w:rPr>
        <w:t>本期具体实施计划如下：</w:t>
      </w:r>
    </w:p>
    <w:tbl>
      <w:tblPr>
        <w:tblStyle w:val="7"/>
        <w:tblW w:w="8625"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1185"/>
        <w:gridCol w:w="2479"/>
        <w:gridCol w:w="2552"/>
        <w:gridCol w:w="2409"/>
      </w:tblGrid>
      <w:tr w14:paraId="50BDA24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rPr>
          <w:jc w:val="center"/>
        </w:trPr>
        <w:tc>
          <w:tcPr>
            <w:tcW w:w="1185" w:type="dxa"/>
            <w:tcMar>
              <w:top w:w="60" w:type="dxa"/>
              <w:left w:w="120" w:type="dxa"/>
              <w:bottom w:w="30" w:type="dxa"/>
              <w:right w:w="120" w:type="dxa"/>
            </w:tcMar>
          </w:tcPr>
          <w:p w14:paraId="57996B4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里程碑</w:t>
            </w:r>
          </w:p>
        </w:tc>
        <w:tc>
          <w:tcPr>
            <w:tcW w:w="2479" w:type="dxa"/>
            <w:tcMar>
              <w:top w:w="60" w:type="dxa"/>
              <w:left w:w="120" w:type="dxa"/>
              <w:bottom w:w="30" w:type="dxa"/>
              <w:right w:w="120" w:type="dxa"/>
            </w:tcMar>
          </w:tcPr>
          <w:p w14:paraId="33B692D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第1月</w:t>
            </w:r>
          </w:p>
        </w:tc>
        <w:tc>
          <w:tcPr>
            <w:tcW w:w="2552" w:type="dxa"/>
            <w:tcMar>
              <w:top w:w="60" w:type="dxa"/>
              <w:left w:w="120" w:type="dxa"/>
              <w:bottom w:w="30" w:type="dxa"/>
              <w:right w:w="120" w:type="dxa"/>
            </w:tcMar>
          </w:tcPr>
          <w:p w14:paraId="7E2BED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第2月</w:t>
            </w:r>
          </w:p>
        </w:tc>
        <w:tc>
          <w:tcPr>
            <w:tcW w:w="2409" w:type="dxa"/>
            <w:tcMar>
              <w:top w:w="60" w:type="dxa"/>
              <w:left w:w="120" w:type="dxa"/>
              <w:bottom w:w="30" w:type="dxa"/>
              <w:right w:w="120" w:type="dxa"/>
            </w:tcMar>
          </w:tcPr>
          <w:p w14:paraId="7634556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第3月</w:t>
            </w:r>
          </w:p>
        </w:tc>
      </w:tr>
      <w:tr w14:paraId="18F0139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185" w:type="dxa"/>
            <w:tcMar>
              <w:top w:w="60" w:type="dxa"/>
              <w:left w:w="120" w:type="dxa"/>
              <w:bottom w:w="30" w:type="dxa"/>
              <w:right w:w="120" w:type="dxa"/>
            </w:tcMar>
          </w:tcPr>
          <w:p w14:paraId="1607E8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阶段工作</w:t>
            </w:r>
          </w:p>
        </w:tc>
        <w:tc>
          <w:tcPr>
            <w:tcW w:w="2479" w:type="dxa"/>
            <w:tcMar>
              <w:top w:w="60" w:type="dxa"/>
              <w:left w:w="120" w:type="dxa"/>
              <w:bottom w:w="30" w:type="dxa"/>
              <w:right w:w="120" w:type="dxa"/>
            </w:tcMar>
          </w:tcPr>
          <w:p w14:paraId="4870F9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前期准备、组织架构梳理、需求调研、系统结构设计、搭建</w:t>
            </w:r>
          </w:p>
        </w:tc>
        <w:tc>
          <w:tcPr>
            <w:tcW w:w="2552" w:type="dxa"/>
            <w:tcMar>
              <w:top w:w="60" w:type="dxa"/>
              <w:left w:w="120" w:type="dxa"/>
              <w:bottom w:w="30" w:type="dxa"/>
              <w:right w:w="120" w:type="dxa"/>
            </w:tcMar>
          </w:tcPr>
          <w:p w14:paraId="311CED9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核心模块配置、业务流程适配、决策审批板块沟通调整及确认</w:t>
            </w:r>
          </w:p>
        </w:tc>
        <w:tc>
          <w:tcPr>
            <w:tcW w:w="2409" w:type="dxa"/>
            <w:tcMar>
              <w:top w:w="60" w:type="dxa"/>
              <w:left w:w="120" w:type="dxa"/>
              <w:bottom w:w="30" w:type="dxa"/>
              <w:right w:w="120" w:type="dxa"/>
            </w:tcMar>
          </w:tcPr>
          <w:p w14:paraId="3DD469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集成接口开发、试运行、用户培训、问题优化、上线交付</w:t>
            </w:r>
          </w:p>
        </w:tc>
      </w:tr>
    </w:tbl>
    <w:p w14:paraId="4D2C8309">
      <w:pPr>
        <w:spacing w:before="300" w:after="120" w:line="288" w:lineRule="auto"/>
        <w:outlineLvl w:val="1"/>
        <w:rPr>
          <w:rFonts w:hint="eastAsia"/>
        </w:rPr>
      </w:pPr>
      <w:bookmarkStart w:id="100" w:name="_Toc19103"/>
      <w:bookmarkStart w:id="101" w:name="_Toc224773487"/>
      <w:r>
        <w:rPr>
          <w:rFonts w:ascii="Arial" w:hAnsi="Arial" w:eastAsia="等线" w:cs="Arial"/>
          <w:b/>
          <w:sz w:val="30"/>
        </w:rPr>
        <w:t>（</w:t>
      </w:r>
      <w:r>
        <w:rPr>
          <w:rFonts w:hint="eastAsia" w:ascii="Arial" w:hAnsi="Arial" w:eastAsia="等线" w:cs="Arial"/>
          <w:b/>
          <w:sz w:val="30"/>
        </w:rPr>
        <w:t>二</w:t>
      </w:r>
      <w:r>
        <w:rPr>
          <w:rFonts w:ascii="Arial" w:hAnsi="Arial" w:eastAsia="等线" w:cs="Arial"/>
          <w:b/>
          <w:sz w:val="30"/>
        </w:rPr>
        <w:t>）项目风险及控制</w:t>
      </w:r>
      <w:bookmarkEnd w:id="100"/>
      <w:bookmarkEnd w:id="101"/>
    </w:p>
    <w:tbl>
      <w:tblPr>
        <w:tblStyle w:val="7"/>
        <w:tblW w:w="8767"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71"/>
        <w:gridCol w:w="2551"/>
        <w:gridCol w:w="5245"/>
      </w:tblGrid>
      <w:tr w14:paraId="41B50E3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rPr>
          <w:jc w:val="center"/>
        </w:trPr>
        <w:tc>
          <w:tcPr>
            <w:tcW w:w="971" w:type="dxa"/>
            <w:tcMar>
              <w:top w:w="60" w:type="dxa"/>
              <w:left w:w="120" w:type="dxa"/>
              <w:bottom w:w="30" w:type="dxa"/>
              <w:right w:w="120" w:type="dxa"/>
            </w:tcMar>
          </w:tcPr>
          <w:p w14:paraId="3FABE1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序号</w:t>
            </w:r>
          </w:p>
        </w:tc>
        <w:tc>
          <w:tcPr>
            <w:tcW w:w="2551" w:type="dxa"/>
            <w:tcMar>
              <w:top w:w="60" w:type="dxa"/>
              <w:left w:w="120" w:type="dxa"/>
              <w:bottom w:w="30" w:type="dxa"/>
              <w:right w:w="120" w:type="dxa"/>
            </w:tcMar>
          </w:tcPr>
          <w:p w14:paraId="4001BC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风险</w:t>
            </w:r>
          </w:p>
        </w:tc>
        <w:tc>
          <w:tcPr>
            <w:tcW w:w="5245" w:type="dxa"/>
            <w:tcMar>
              <w:top w:w="60" w:type="dxa"/>
              <w:left w:w="120" w:type="dxa"/>
              <w:bottom w:w="30" w:type="dxa"/>
              <w:right w:w="120" w:type="dxa"/>
            </w:tcMar>
          </w:tcPr>
          <w:p w14:paraId="1DBB9E4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对策</w:t>
            </w:r>
          </w:p>
        </w:tc>
      </w:tr>
      <w:tr w14:paraId="47BFD96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971" w:type="dxa"/>
            <w:tcMar>
              <w:top w:w="60" w:type="dxa"/>
              <w:left w:w="120" w:type="dxa"/>
              <w:bottom w:w="30" w:type="dxa"/>
              <w:right w:w="120" w:type="dxa"/>
            </w:tcMar>
            <w:vAlign w:val="center"/>
          </w:tcPr>
          <w:p w14:paraId="59EF6C2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2551" w:type="dxa"/>
            <w:tcMar>
              <w:top w:w="60" w:type="dxa"/>
              <w:left w:w="120" w:type="dxa"/>
              <w:bottom w:w="30" w:type="dxa"/>
              <w:right w:w="120" w:type="dxa"/>
            </w:tcMar>
            <w:vAlign w:val="center"/>
          </w:tcPr>
          <w:p w14:paraId="5115375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业务需求不明确</w:t>
            </w:r>
          </w:p>
        </w:tc>
        <w:tc>
          <w:tcPr>
            <w:tcW w:w="5245" w:type="dxa"/>
            <w:tcMar>
              <w:top w:w="60" w:type="dxa"/>
              <w:left w:w="120" w:type="dxa"/>
              <w:bottom w:w="30" w:type="dxa"/>
              <w:right w:w="120" w:type="dxa"/>
            </w:tcMar>
            <w:vAlign w:val="center"/>
          </w:tcPr>
          <w:p w14:paraId="35F9B5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项目实施不仅要立足当下，更要着眼未来，要有前瞻性，系统架构要有扩展性。能够清晰地表达需求和困难，是项目成功的关键。</w:t>
            </w:r>
          </w:p>
        </w:tc>
      </w:tr>
      <w:tr w14:paraId="07A4BDA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971" w:type="dxa"/>
            <w:tcMar>
              <w:top w:w="60" w:type="dxa"/>
              <w:left w:w="120" w:type="dxa"/>
              <w:bottom w:w="30" w:type="dxa"/>
              <w:right w:w="120" w:type="dxa"/>
            </w:tcMar>
            <w:vAlign w:val="center"/>
          </w:tcPr>
          <w:p w14:paraId="260428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2551" w:type="dxa"/>
            <w:tcMar>
              <w:top w:w="60" w:type="dxa"/>
              <w:left w:w="120" w:type="dxa"/>
              <w:bottom w:w="30" w:type="dxa"/>
              <w:right w:w="120" w:type="dxa"/>
            </w:tcMar>
            <w:vAlign w:val="center"/>
          </w:tcPr>
          <w:p w14:paraId="08850A9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关键用户和业务骨干参与度低，信息不同步</w:t>
            </w:r>
          </w:p>
        </w:tc>
        <w:tc>
          <w:tcPr>
            <w:tcW w:w="5245" w:type="dxa"/>
            <w:tcMar>
              <w:top w:w="60" w:type="dxa"/>
              <w:left w:w="120" w:type="dxa"/>
              <w:bottom w:w="30" w:type="dxa"/>
              <w:right w:w="120" w:type="dxa"/>
            </w:tcMar>
            <w:vAlign w:val="center"/>
          </w:tcPr>
          <w:p w14:paraId="72F3A24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建立项目通讯录及沟通机制，关键用户全程参与需求调研、测试、验收环节。</w:t>
            </w:r>
          </w:p>
        </w:tc>
      </w:tr>
      <w:tr w14:paraId="24B230A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971" w:type="dxa"/>
            <w:tcMar>
              <w:top w:w="60" w:type="dxa"/>
              <w:left w:w="120" w:type="dxa"/>
              <w:bottom w:w="30" w:type="dxa"/>
              <w:right w:w="120" w:type="dxa"/>
            </w:tcMar>
            <w:vAlign w:val="center"/>
          </w:tcPr>
          <w:p w14:paraId="560C9D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2551" w:type="dxa"/>
            <w:tcMar>
              <w:top w:w="60" w:type="dxa"/>
              <w:left w:w="120" w:type="dxa"/>
              <w:bottom w:w="30" w:type="dxa"/>
              <w:right w:w="120" w:type="dxa"/>
            </w:tcMar>
            <w:vAlign w:val="center"/>
          </w:tcPr>
          <w:p w14:paraId="3CFAEFC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配套制度和规范未跟进</w:t>
            </w:r>
          </w:p>
        </w:tc>
        <w:tc>
          <w:tcPr>
            <w:tcW w:w="5245" w:type="dxa"/>
            <w:tcMar>
              <w:top w:w="60" w:type="dxa"/>
              <w:left w:w="120" w:type="dxa"/>
              <w:bottom w:w="30" w:type="dxa"/>
              <w:right w:w="120" w:type="dxa"/>
            </w:tcMar>
            <w:vAlign w:val="center"/>
          </w:tcPr>
          <w:p w14:paraId="01CCB11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系统建设过程也是制度的进一步明确，根据项目推进要求，同步推动研发管理、变更管理、文档管理、合规管控制度的制定和修订。</w:t>
            </w:r>
          </w:p>
        </w:tc>
      </w:tr>
      <w:tr w14:paraId="0101E33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971" w:type="dxa"/>
            <w:tcMar>
              <w:top w:w="60" w:type="dxa"/>
              <w:left w:w="120" w:type="dxa"/>
              <w:bottom w:w="30" w:type="dxa"/>
              <w:right w:w="120" w:type="dxa"/>
            </w:tcMar>
            <w:vAlign w:val="center"/>
          </w:tcPr>
          <w:p w14:paraId="6301F9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2551" w:type="dxa"/>
            <w:tcMar>
              <w:top w:w="60" w:type="dxa"/>
              <w:left w:w="120" w:type="dxa"/>
              <w:bottom w:w="30" w:type="dxa"/>
              <w:right w:w="120" w:type="dxa"/>
            </w:tcMar>
            <w:vAlign w:val="center"/>
          </w:tcPr>
          <w:p w14:paraId="5DC3D0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系统集成对接风险</w:t>
            </w:r>
          </w:p>
        </w:tc>
        <w:tc>
          <w:tcPr>
            <w:tcW w:w="5245" w:type="dxa"/>
            <w:tcMar>
              <w:top w:w="60" w:type="dxa"/>
              <w:left w:w="120" w:type="dxa"/>
              <w:bottom w:w="30" w:type="dxa"/>
              <w:right w:w="120" w:type="dxa"/>
            </w:tcMar>
            <w:vAlign w:val="center"/>
          </w:tcPr>
          <w:p w14:paraId="3C28B70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highlight w:val="none"/>
                <w:lang w:val="en-US" w:eastAsia="zh-CN"/>
              </w:rPr>
              <w:t>提前与ERP、CAD、集团管控平台等系统厂商沟通，明确接口规范、数据标准，制定专项对接方案，提前开展接口测试。</w:t>
            </w:r>
          </w:p>
        </w:tc>
      </w:tr>
      <w:tr w14:paraId="5D635087">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971" w:type="dxa"/>
            <w:tcMar>
              <w:top w:w="60" w:type="dxa"/>
              <w:left w:w="120" w:type="dxa"/>
              <w:bottom w:w="30" w:type="dxa"/>
              <w:right w:w="120" w:type="dxa"/>
            </w:tcMar>
            <w:vAlign w:val="center"/>
          </w:tcPr>
          <w:p w14:paraId="407618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2551" w:type="dxa"/>
            <w:tcMar>
              <w:top w:w="60" w:type="dxa"/>
              <w:left w:w="120" w:type="dxa"/>
              <w:bottom w:w="30" w:type="dxa"/>
              <w:right w:w="120" w:type="dxa"/>
            </w:tcMar>
            <w:vAlign w:val="center"/>
          </w:tcPr>
          <w:p w14:paraId="0D85CC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数据迁移风险</w:t>
            </w:r>
          </w:p>
        </w:tc>
        <w:tc>
          <w:tcPr>
            <w:tcW w:w="5245" w:type="dxa"/>
            <w:tcMar>
              <w:top w:w="60" w:type="dxa"/>
              <w:left w:w="120" w:type="dxa"/>
              <w:bottom w:w="30" w:type="dxa"/>
              <w:right w:w="120" w:type="dxa"/>
            </w:tcMar>
            <w:vAlign w:val="center"/>
          </w:tcPr>
          <w:p w14:paraId="611428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全员配合，制定详细的历史数据迁移方案，明确数据清洗、整理、导入、校验标准，分批次开展迁移，确保数据完整、准确。</w:t>
            </w:r>
          </w:p>
        </w:tc>
      </w:tr>
    </w:tbl>
    <w:p w14:paraId="35C2B3C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lang w:val="en-US" w:eastAsia="zh-CN"/>
        </w:rPr>
      </w:pPr>
      <w:bookmarkStart w:id="102" w:name="heading_94"/>
      <w:bookmarkStart w:id="103" w:name="_Toc224765156"/>
      <w:bookmarkStart w:id="104" w:name="_Toc22507"/>
      <w:bookmarkStart w:id="105" w:name="_Toc224773488"/>
      <w:r>
        <w:rPr>
          <w:rFonts w:hint="eastAsia" w:ascii="方正楷体_GB2312" w:hAnsi="方正楷体_GB2312" w:eastAsia="方正楷体_GB2312" w:cs="方正楷体_GB2312"/>
          <w:b/>
          <w:bCs/>
          <w:sz w:val="32"/>
          <w:szCs w:val="32"/>
          <w:lang w:val="en-US" w:eastAsia="zh-CN"/>
        </w:rPr>
        <w:t>（三）项目实施团队要求</w:t>
      </w:r>
      <w:bookmarkEnd w:id="102"/>
      <w:bookmarkEnd w:id="103"/>
      <w:bookmarkEnd w:id="104"/>
      <w:bookmarkEnd w:id="105"/>
    </w:p>
    <w:p w14:paraId="09789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1.根据项目规模组建稳定的实施团队，并应制订项目实施规范，保证项目的所有管理要求和实施策略能得到一贯地执行。</w:t>
      </w:r>
    </w:p>
    <w:p w14:paraId="73001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2.团队必须结构合理，能够充分满足公司建设目标的需要，核心实施人员必须具备医疗设备行业研发管理PLM系统实施经验。</w:t>
      </w:r>
    </w:p>
    <w:p w14:paraId="66BF0C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原则上不能进行项目人员变动，在特殊情况下，供应商变动的人员必须在资历、项目经验上优于被替换的人员，并需事先得到公司认可。如果公司认为供应商的人员不能胜任，则有权要求供应商更换人员，供应商应在合理时间内指派合适的替换人员。供应商若在人员更换上违约，则按照双方签订合同中的相关违约条款进行处理。</w:t>
      </w:r>
    </w:p>
    <w:p w14:paraId="4A616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4.供应商必须遵守公司的相关制度规定，遵守公司的项目考勤制度，对于违反者，先警告，屡教不改者予以清退，并扣除供应商相应的项目人天费用。</w:t>
      </w:r>
    </w:p>
    <w:p w14:paraId="14D823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供应商应对派驻在公司的项目实施人员安全及行为负全部责任，供应商人员到公司应遵守当地安全规定，公司不对供应商实施人员发生的任何意外事件承担任何责任和费用，包括但不限于由于公司的行为或疏忽造成的。</w:t>
      </w:r>
    </w:p>
    <w:p w14:paraId="3BC46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方正楷体_GB2312" w:hAnsi="方正楷体_GB2312" w:eastAsia="方正楷体_GB2312" w:cs="方正楷体_GB2312"/>
          <w:sz w:val="32"/>
          <w:szCs w:val="32"/>
          <w:lang w:val="en-US" w:eastAsia="zh-CN"/>
        </w:rPr>
      </w:pPr>
      <w:bookmarkStart w:id="106" w:name="_Toc224765159"/>
      <w:bookmarkStart w:id="107" w:name="_Toc224773489"/>
      <w:bookmarkStart w:id="108" w:name="heading_97"/>
      <w:bookmarkStart w:id="109" w:name="_Toc1310"/>
      <w:r>
        <w:rPr>
          <w:rFonts w:hint="eastAsia" w:ascii="方正楷体_GB2312" w:hAnsi="方正楷体_GB2312" w:eastAsia="方正楷体_GB2312" w:cs="方正楷体_GB2312"/>
          <w:sz w:val="32"/>
          <w:szCs w:val="32"/>
          <w:lang w:val="en-US" w:eastAsia="zh-CN"/>
        </w:rPr>
        <w:t>（四）售后服务需求</w:t>
      </w:r>
      <w:bookmarkEnd w:id="106"/>
      <w:bookmarkEnd w:id="107"/>
      <w:bookmarkEnd w:id="108"/>
      <w:bookmarkEnd w:id="109"/>
    </w:p>
    <w:p w14:paraId="7979E4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1.供应商在系统实施完毕，通过系统正式验收后，应提供以下售后服务：系统正式验收后，供应商需按照以下要求进行系统质保服务，保障好博医疗研发管理PLM研发管理系统的稳定可靠运行。</w:t>
      </w:r>
    </w:p>
    <w:p w14:paraId="543B7D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免费质保期为一年，从项目终验之日起计算。在质保期内，供应商应提供固定的质保期联系人，该联系人必须为供应商的项目实施团队中的骨干成员。如因系统运行故障导致停止，免费质保期顺延。供应商应在接到用户故障信息后1小时内响应，24小时内服务人员应到达现场。</w:t>
      </w:r>
    </w:p>
    <w:p w14:paraId="094DB2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3.在质保期内，供应商应按如下方式提供服务：</w:t>
      </w:r>
    </w:p>
    <w:p w14:paraId="04BBCA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热线电话：可通过电话、传真、邮件等通讯交流方式对公司提出的复杂等级低的问题予以支持。</w:t>
      </w:r>
    </w:p>
    <w:p w14:paraId="335BB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远程登录：当系统提供的业务中断或问题复杂等级高时，需要提供远端登录支持。</w:t>
      </w:r>
    </w:p>
    <w:p w14:paraId="618CF8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现场服务：当系统提供的业务中断或问题复杂等级高且远程登录无法解决问题时，需要派遣顾问到达现场解决问题。</w:t>
      </w:r>
    </w:p>
    <w:p w14:paraId="781C91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质保期满后的技术支持和维护：如公司仍需供应商提供服务，双方应友好协商并签订协议。</w:t>
      </w:r>
    </w:p>
    <w:p w14:paraId="7B05FA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升级服务：供应商须在出现好博医疗研发管理系统新版本和系统BUG后5日内进行升级和BUG修复，以保证公司系统的版本更新和稳定运行。</w:t>
      </w:r>
    </w:p>
    <w:p w14:paraId="2F697E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应急手册及应急演练：应公司要求，供应商需协助公司制定和完善应急手册及演练方案，并配合公司实施应急演练。</w:t>
      </w:r>
    </w:p>
    <w:p w14:paraId="7D33B7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供应商所提供的系统本身的缺陷和故障应该终身免费维修。在系统使用的任何时期，若发现系统有任何瑕疵、缺陷和漏洞，供应商必须尽快提供解决方案，若这些瑕疵、缺陷和漏洞已经严重影响了公司业务正常进行的，供应商必须提供免费的修复服务。</w:t>
      </w:r>
    </w:p>
    <w:p w14:paraId="441668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方正楷体_GB2312" w:hAnsi="方正楷体_GB2312" w:eastAsia="方正楷体_GB2312" w:cs="方正楷体_GB2312"/>
          <w:b/>
          <w:bCs/>
          <w:sz w:val="32"/>
          <w:szCs w:val="32"/>
          <w:lang w:val="en-US" w:eastAsia="zh-CN"/>
        </w:rPr>
      </w:pPr>
      <w:bookmarkStart w:id="110" w:name="_Toc21424"/>
      <w:bookmarkStart w:id="111" w:name="heading_98"/>
      <w:bookmarkStart w:id="112" w:name="_Toc224765160"/>
      <w:bookmarkStart w:id="113" w:name="_Toc224773490"/>
      <w:r>
        <w:rPr>
          <w:rFonts w:hint="eastAsia" w:ascii="方正楷体_GB2312" w:hAnsi="方正楷体_GB2312" w:eastAsia="方正楷体_GB2312" w:cs="方正楷体_GB2312"/>
          <w:b/>
          <w:bCs/>
          <w:sz w:val="32"/>
          <w:szCs w:val="32"/>
          <w:lang w:val="en-US" w:eastAsia="zh-CN"/>
        </w:rPr>
        <w:t>（五）对投标人的要求</w:t>
      </w:r>
      <w:bookmarkEnd w:id="110"/>
      <w:bookmarkEnd w:id="111"/>
      <w:bookmarkEnd w:id="112"/>
      <w:bookmarkEnd w:id="113"/>
    </w:p>
    <w:p w14:paraId="2AB213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 具有独立承担民事责任的能力；</w:t>
      </w:r>
    </w:p>
    <w:p w14:paraId="0C99E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2. 具有良好的商业信誉和健全的财务会计制度；</w:t>
      </w:r>
    </w:p>
    <w:p w14:paraId="07EB5D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 具有履行合同所必需的设备和专业技术能力，具备官方认证合作伙伴资质；</w:t>
      </w:r>
    </w:p>
    <w:p w14:paraId="684F2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 在经营活动中无重大违法违纪记录；</w:t>
      </w:r>
    </w:p>
    <w:p w14:paraId="402D49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5. 拥有医疗行业PLM系统实施成功案例；</w:t>
      </w:r>
    </w:p>
    <w:p w14:paraId="39092C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6. 法律、行政法规规定的其他条件。</w:t>
      </w:r>
    </w:p>
    <w:p w14:paraId="38B705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bookmarkEnd w:id="114"/>
    <w:p w14:paraId="7B5CB8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7BBC5280">
      <w:pPr>
        <w:rPr>
          <w:rFonts w:hint="eastAsia"/>
        </w:rPr>
      </w:pPr>
    </w:p>
    <w:p w14:paraId="1BC42CF4">
      <w:pPr>
        <w:rPr>
          <w:rFonts w:hint="eastAsia"/>
        </w:rPr>
      </w:pPr>
    </w:p>
    <w:p w14:paraId="1E134C4F"/>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61CEF2B-AB29-400D-9019-E845766F92AE}"/>
  </w:font>
  <w:font w:name="黑体">
    <w:panose1 w:val="02010609060101010101"/>
    <w:charset w:val="86"/>
    <w:family w:val="auto"/>
    <w:pitch w:val="default"/>
    <w:sig w:usb0="800002BF" w:usb1="38CF7CFA" w:usb2="00000016" w:usb3="00000000" w:csb0="00040001" w:csb1="00000000"/>
    <w:embedRegular r:id="rId2" w:fontKey="{93419A3B-AC6B-4CF8-9302-E24DE87C47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D5D23C7-EC33-4046-ADCD-5D45F5770E0C}"/>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75CFA720-AEA1-4127-BC86-AC8AD5CF13A8}"/>
  </w:font>
  <w:font w:name="方正楷体_GB2312">
    <w:panose1 w:val="02000000000000000000"/>
    <w:charset w:val="86"/>
    <w:family w:val="auto"/>
    <w:pitch w:val="default"/>
    <w:sig w:usb0="A00002BF" w:usb1="184F6CFA" w:usb2="00000012" w:usb3="00000000" w:csb0="00040001" w:csb1="00000000"/>
    <w:embedRegular r:id="rId5" w:fontKey="{A140B644-BD87-4F51-97E5-039D521844C6}"/>
  </w:font>
  <w:font w:name="仿宋">
    <w:panose1 w:val="02010609060101010101"/>
    <w:charset w:val="86"/>
    <w:family w:val="auto"/>
    <w:pitch w:val="default"/>
    <w:sig w:usb0="800002BF" w:usb1="38CF7CFA" w:usb2="00000016" w:usb3="00000000" w:csb0="00040001" w:csb1="00000000"/>
    <w:embedRegular r:id="rId6" w:fontKey="{FFD409B9-B907-4BF1-B37A-992B00EF2641}"/>
  </w:font>
  <w:font w:name="方正仿宋_GB2312">
    <w:panose1 w:val="02000000000000000000"/>
    <w:charset w:val="86"/>
    <w:family w:val="auto"/>
    <w:pitch w:val="default"/>
    <w:sig w:usb0="A00002BF" w:usb1="184F6CFA" w:usb2="00000012" w:usb3="00000000" w:csb0="00040001" w:csb1="00000000"/>
    <w:embedRegular r:id="rId7" w:fontKey="{ACAE9470-B50C-4C8F-AA9C-0E2A570D354C}"/>
  </w:font>
  <w:font w:name="等线">
    <w:panose1 w:val="02010600030101010101"/>
    <w:charset w:val="86"/>
    <w:family w:val="auto"/>
    <w:pitch w:val="default"/>
    <w:sig w:usb0="A00002BF" w:usb1="38CF7CFA" w:usb2="00000016" w:usb3="00000000" w:csb0="0004000F" w:csb1="00000000"/>
    <w:embedRegular r:id="rId8" w:fontKey="{1D5B2849-9D8F-43D1-96C8-A11A7093ABFD}"/>
  </w:font>
  <w:font w:name="Segoe UI">
    <w:panose1 w:val="020B0502040204020203"/>
    <w:charset w:val="00"/>
    <w:family w:val="auto"/>
    <w:pitch w:val="default"/>
    <w:sig w:usb0="E4002EFF" w:usb1="C000E47F" w:usb2="00000009" w:usb3="00000000" w:csb0="200001FF" w:csb1="00000000"/>
    <w:embedRegular r:id="rId9" w:fontKey="{EFE0D294-FC39-41EF-9B5C-AA18BC60C492}"/>
  </w:font>
  <w:font w:name="WPSEMBED1">
    <w:panose1 w:val="02000000000000000000"/>
    <w:charset w:val="86"/>
    <w:family w:val="auto"/>
    <w:pitch w:val="default"/>
    <w:sig w:usb0="00000001" w:usb1="08000000" w:usb2="00000000" w:usb3="00000000" w:csb0="00040000" w:csb1="00000000"/>
  </w:font>
  <w:font w:name="WPSEMBED2">
    <w:panose1 w:val="02000000000000000000"/>
    <w:charset w:val="86"/>
    <w:family w:val="auto"/>
    <w:pitch w:val="default"/>
    <w:sig w:usb0="A00002BF" w:usb1="184F6CFA" w:usb2="00000012" w:usb3="00000000" w:csb0="00040001" w:csb1="00000000"/>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3620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BF80A">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3BF80A">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880C9E"/>
    <w:rsid w:val="1C382FFB"/>
    <w:rsid w:val="1CB87A38"/>
    <w:rsid w:val="29F51284"/>
    <w:rsid w:val="2AB2166E"/>
    <w:rsid w:val="35E328D9"/>
    <w:rsid w:val="54880C9E"/>
    <w:rsid w:val="645960B5"/>
    <w:rsid w:val="6E3823B9"/>
    <w:rsid w:val="75754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footer"/>
    <w:basedOn w:val="1"/>
    <w:qFormat/>
    <w:uiPriority w:val="0"/>
    <w:pPr>
      <w:tabs>
        <w:tab w:val="center" w:pos="4153"/>
        <w:tab w:val="right" w:pos="8306"/>
      </w:tabs>
      <w:snapToGrid w:val="0"/>
      <w:jc w:val="left"/>
    </w:pPr>
    <w:rPr>
      <w:sz w:val="18"/>
    </w:rPr>
  </w:style>
  <w:style w:type="paragraph" w:styleId="4">
    <w:name w:val="toc 1"/>
    <w:basedOn w:val="1"/>
    <w:next w:val="1"/>
    <w:unhideWhenUsed/>
    <w:qFormat/>
    <w:uiPriority w:val="39"/>
  </w:style>
  <w:style w:type="paragraph" w:styleId="5">
    <w:name w:val="toc 2"/>
    <w:basedOn w:val="1"/>
    <w:next w:val="1"/>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39"/>
    <w:pPr>
      <w:spacing w:after="0" w:line="240" w:lineRule="auto"/>
      <w:jc w:val="center"/>
    </w:pPr>
    <w:rPr>
      <w:rFonts w:eastAsia="微软雅黑"/>
      <w:sz w:val="28"/>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microsoft.com/office/2007/relationships/diagramDrawing" Target="diagrams/drawing1.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CBFE00B1-4E21-4BC3-A865-F06FE1C41DBA}" type="doc">
      <dgm:prSet loTypeId="urn:microsoft.com/office/officeart/2005/8/layout/hProcess4" loCatId="process" qsTypeId="urn:microsoft.com/office/officeart/2005/8/quickstyle/simple1" qsCatId="simple" csTypeId="urn:microsoft.com/office/officeart/2005/8/colors/colorful5" csCatId="colorful" phldr="1"/>
      <dgm:spPr/>
      <dgm:t>
        <a:bodyPr/>
        <a:p>
          <a:endParaRPr lang="zh-CN" altLang="en-US"/>
        </a:p>
      </dgm:t>
    </dgm:pt>
    <dgm:pt modelId="{F8AF0B11-5194-43DF-9A70-A9364137BEA3}">
      <dgm:prSet phldrT="[文本]"/>
      <dgm:spPr/>
      <dgm:t>
        <a:bodyPr/>
        <a:p>
          <a:pPr algn="l"/>
          <a:r>
            <a:rPr lang="zh-CN" altLang="en-US"/>
            <a:t>第一期</a:t>
          </a:r>
          <a:endParaRPr lang="en-US" altLang="zh-CN"/>
        </a:p>
        <a:p>
          <a:pPr algn="l"/>
          <a:r>
            <a:rPr lang="zh-CN" altLang="en-US"/>
            <a:t>项目管理和研发数据管理</a:t>
          </a:r>
        </a:p>
      </dgm:t>
    </dgm:pt>
    <dgm:pt modelId="{48D09710-02DA-4DD8-8CD6-6EE2BF8A8609}" cxnId="{26CAD556-3133-4BFF-AC3F-379049FFA7FA}" type="parTrans">
      <dgm:prSet/>
      <dgm:spPr/>
      <dgm:t>
        <a:bodyPr/>
        <a:p>
          <a:pPr algn="l"/>
          <a:endParaRPr lang="zh-CN" altLang="en-US"/>
        </a:p>
      </dgm:t>
    </dgm:pt>
    <dgm:pt modelId="{9EE3B6DD-46C6-4990-8D74-D30B5CA1232A}" cxnId="{26CAD556-3133-4BFF-AC3F-379049FFA7FA}" type="sibTrans">
      <dgm:prSet/>
      <dgm:spPr/>
      <dgm:t>
        <a:bodyPr/>
        <a:p>
          <a:pPr algn="l"/>
          <a:endParaRPr lang="zh-CN" altLang="en-US"/>
        </a:p>
      </dgm:t>
    </dgm:pt>
    <dgm:pt modelId="{DE1ED8D0-B39B-4237-B595-E65278955FE5}">
      <dgm:prSet phldrT="[文本]"/>
      <dgm:spPr/>
      <dgm:t>
        <a:bodyPr/>
        <a:p>
          <a:pPr algn="l"/>
          <a:r>
            <a:rPr lang="zh-CN" altLang="en-US"/>
            <a:t>编码体系和库体系建立</a:t>
          </a:r>
        </a:p>
      </dgm:t>
    </dgm:pt>
    <dgm:pt modelId="{8B616FA1-78D4-41E9-8974-252E9B81EE89}" cxnId="{B7CC1CF1-CDE5-420A-A390-05B9D8CA6CBC}" type="parTrans">
      <dgm:prSet/>
      <dgm:spPr/>
      <dgm:t>
        <a:bodyPr/>
        <a:p>
          <a:pPr algn="l"/>
          <a:endParaRPr lang="zh-CN" altLang="en-US"/>
        </a:p>
      </dgm:t>
    </dgm:pt>
    <dgm:pt modelId="{47B2C7FA-2784-406D-A9EB-91AD9EDEE43B}" cxnId="{B7CC1CF1-CDE5-420A-A390-05B9D8CA6CBC}" type="sibTrans">
      <dgm:prSet/>
      <dgm:spPr/>
      <dgm:t>
        <a:bodyPr/>
        <a:p>
          <a:pPr algn="l"/>
          <a:endParaRPr lang="zh-CN" altLang="en-US"/>
        </a:p>
      </dgm:t>
    </dgm:pt>
    <dgm:pt modelId="{51FF7301-5792-4467-8D6C-D87D49D7F2DC}">
      <dgm:prSet phldrT="[文本]"/>
      <dgm:spPr/>
      <dgm:t>
        <a:bodyPr/>
        <a:p>
          <a:pPr algn="l"/>
          <a:r>
            <a:rPr lang="zh-CN" altLang="en-US"/>
            <a:t>第三期</a:t>
          </a:r>
          <a:endParaRPr lang="en-US" altLang="zh-CN"/>
        </a:p>
        <a:p>
          <a:pPr algn="l"/>
          <a:r>
            <a:rPr lang="zh-CN" altLang="en-US"/>
            <a:t>数智化平台</a:t>
          </a:r>
        </a:p>
      </dgm:t>
    </dgm:pt>
    <dgm:pt modelId="{5E42950D-BC1C-4ADC-90C3-73097F64029A}" cxnId="{09950E73-2D44-44CB-8CAE-859F1D49E3CC}" type="parTrans">
      <dgm:prSet/>
      <dgm:spPr/>
      <dgm:t>
        <a:bodyPr/>
        <a:p>
          <a:pPr algn="l"/>
          <a:endParaRPr lang="zh-CN" altLang="en-US"/>
        </a:p>
      </dgm:t>
    </dgm:pt>
    <dgm:pt modelId="{8655121F-BD72-4EDB-8644-BF3AD5E9B37C}" cxnId="{09950E73-2D44-44CB-8CAE-859F1D49E3CC}" type="sibTrans">
      <dgm:prSet/>
      <dgm:spPr/>
      <dgm:t>
        <a:bodyPr/>
        <a:p>
          <a:pPr algn="l"/>
          <a:endParaRPr lang="zh-CN" altLang="en-US"/>
        </a:p>
      </dgm:t>
    </dgm:pt>
    <dgm:pt modelId="{96F786CF-1705-495D-90C9-CE40A1C363B9}">
      <dgm:prSet phldrT="[文本]"/>
      <dgm:spPr/>
      <dgm:t>
        <a:bodyPr/>
        <a:p>
          <a:pPr algn="l"/>
          <a:r>
            <a:rPr lang="en-US" altLang="zh-CN"/>
            <a:t>KBE</a:t>
          </a:r>
          <a:r>
            <a:rPr lang="zh-CN" altLang="en-US"/>
            <a:t>平台</a:t>
          </a:r>
        </a:p>
      </dgm:t>
    </dgm:pt>
    <dgm:pt modelId="{FF5F97D3-2B5C-40DD-B1BB-B93CFC1F4B08}" cxnId="{E0FF4525-0CCB-474C-AB03-C02CBC3B575D}" type="parTrans">
      <dgm:prSet/>
      <dgm:spPr/>
      <dgm:t>
        <a:bodyPr/>
        <a:p>
          <a:pPr algn="l"/>
          <a:endParaRPr lang="zh-CN" altLang="en-US"/>
        </a:p>
      </dgm:t>
    </dgm:pt>
    <dgm:pt modelId="{3A82C76E-9949-421B-BD9B-39C3DC060A91}" cxnId="{E0FF4525-0CCB-474C-AB03-C02CBC3B575D}" type="sibTrans">
      <dgm:prSet/>
      <dgm:spPr/>
      <dgm:t>
        <a:bodyPr/>
        <a:p>
          <a:pPr algn="l"/>
          <a:endParaRPr lang="zh-CN" altLang="en-US"/>
        </a:p>
      </dgm:t>
    </dgm:pt>
    <dgm:pt modelId="{6E927495-8EBA-4F8A-8FF9-CB1FCCE58FF1}">
      <dgm:prSet phldrT="[文本]"/>
      <dgm:spPr/>
      <dgm:t>
        <a:bodyPr/>
        <a:p>
          <a:pPr algn="l"/>
          <a:r>
            <a:rPr lang="zh-CN" altLang="en-US"/>
            <a:t>智慧设计平台</a:t>
          </a:r>
        </a:p>
      </dgm:t>
    </dgm:pt>
    <dgm:pt modelId="{6C5743BE-7918-4768-ABF7-D622D8F8A54B}" cxnId="{05DCBE31-6D00-4859-AEB8-2A3EE6346196}" type="parTrans">
      <dgm:prSet/>
      <dgm:spPr/>
      <dgm:t>
        <a:bodyPr/>
        <a:p>
          <a:pPr algn="l"/>
          <a:endParaRPr lang="zh-CN" altLang="en-US"/>
        </a:p>
      </dgm:t>
    </dgm:pt>
    <dgm:pt modelId="{40008124-3A5A-401B-B9A5-DDABC5339479}" cxnId="{05DCBE31-6D00-4859-AEB8-2A3EE6346196}" type="sibTrans">
      <dgm:prSet/>
      <dgm:spPr/>
      <dgm:t>
        <a:bodyPr/>
        <a:p>
          <a:pPr algn="l"/>
          <a:endParaRPr lang="zh-CN" altLang="en-US"/>
        </a:p>
      </dgm:t>
    </dgm:pt>
    <dgm:pt modelId="{8709A1DB-B300-4E7E-B109-1143CA984D32}">
      <dgm:prSet phldrT="[文本]"/>
      <dgm:spPr/>
      <dgm:t>
        <a:bodyPr/>
        <a:p>
          <a:pPr algn="l"/>
          <a:r>
            <a:rPr lang="zh-CN" altLang="en-US"/>
            <a:t>产品主数据</a:t>
          </a:r>
          <a:r>
            <a:rPr lang="en-US" altLang="zh-CN"/>
            <a:t>BOM</a:t>
          </a:r>
          <a:r>
            <a:rPr lang="zh-CN" altLang="en-US"/>
            <a:t>管理</a:t>
          </a:r>
        </a:p>
      </dgm:t>
    </dgm:pt>
    <dgm:pt modelId="{0AE03905-AA80-4D58-98A6-EC90F5ABFB25}" cxnId="{A4B0B8A3-4863-403F-A2E6-1353DD67A951}" type="parTrans">
      <dgm:prSet/>
      <dgm:spPr/>
      <dgm:t>
        <a:bodyPr/>
        <a:p>
          <a:pPr algn="l"/>
          <a:endParaRPr lang="zh-CN" altLang="en-US"/>
        </a:p>
      </dgm:t>
    </dgm:pt>
    <dgm:pt modelId="{99F60C3B-D4E6-4C28-99DE-79F95A1FD2EA}" cxnId="{A4B0B8A3-4863-403F-A2E6-1353DD67A951}" type="sibTrans">
      <dgm:prSet/>
      <dgm:spPr/>
      <dgm:t>
        <a:bodyPr/>
        <a:p>
          <a:pPr algn="l"/>
          <a:endParaRPr lang="zh-CN" altLang="en-US"/>
        </a:p>
      </dgm:t>
    </dgm:pt>
    <dgm:pt modelId="{027FC2F7-A96E-425F-AD26-0A919E627E82}">
      <dgm:prSet phldrT="[文本]"/>
      <dgm:spPr/>
      <dgm:t>
        <a:bodyPr/>
        <a:p>
          <a:pPr algn="l"/>
          <a:r>
            <a:rPr lang="zh-CN" altLang="en-US"/>
            <a:t>图文档版本、变更管理</a:t>
          </a:r>
        </a:p>
      </dgm:t>
    </dgm:pt>
    <dgm:pt modelId="{572B0709-C2DA-4DC3-AD7F-14FC1054F521}" cxnId="{2D9DDAAC-8B90-409F-93A5-ADDEAA07428C}" type="parTrans">
      <dgm:prSet/>
      <dgm:spPr/>
      <dgm:t>
        <a:bodyPr/>
        <a:p>
          <a:pPr algn="l"/>
          <a:endParaRPr lang="zh-CN" altLang="en-US"/>
        </a:p>
      </dgm:t>
    </dgm:pt>
    <dgm:pt modelId="{612446DA-F78C-4B53-88DF-48CAE12EFB38}" cxnId="{2D9DDAAC-8B90-409F-93A5-ADDEAA07428C}" type="sibTrans">
      <dgm:prSet/>
      <dgm:spPr/>
      <dgm:t>
        <a:bodyPr/>
        <a:p>
          <a:pPr algn="l"/>
          <a:endParaRPr lang="zh-CN" altLang="en-US"/>
        </a:p>
      </dgm:t>
    </dgm:pt>
    <dgm:pt modelId="{E97A7D89-6E9A-4E8F-8286-74FC6F77BE72}">
      <dgm:prSet phldrT="[文本]"/>
      <dgm:spPr/>
      <dgm:t>
        <a:bodyPr/>
        <a:p>
          <a:pPr algn="l"/>
          <a:r>
            <a:rPr lang="zh-CN" altLang="en-US"/>
            <a:t>工艺仿真</a:t>
          </a:r>
        </a:p>
      </dgm:t>
    </dgm:pt>
    <dgm:pt modelId="{6B7BB80E-2A9A-4897-AA38-1ADC3ED0FBEA}" cxnId="{9994CF01-17A1-4BE2-804F-A7D3101D566D}" type="sibTrans">
      <dgm:prSet/>
      <dgm:spPr/>
      <dgm:t>
        <a:bodyPr/>
        <a:p>
          <a:pPr algn="l"/>
          <a:endParaRPr lang="zh-CN" altLang="en-US"/>
        </a:p>
      </dgm:t>
    </dgm:pt>
    <dgm:pt modelId="{97587B1F-887F-4589-A20E-09813276A014}" cxnId="{9994CF01-17A1-4BE2-804F-A7D3101D566D}" type="parTrans">
      <dgm:prSet/>
      <dgm:spPr/>
      <dgm:t>
        <a:bodyPr/>
        <a:p>
          <a:pPr algn="l"/>
          <a:endParaRPr lang="zh-CN" altLang="en-US"/>
        </a:p>
      </dgm:t>
    </dgm:pt>
    <dgm:pt modelId="{508F41FD-2E7B-4AAE-8693-57D92EB2AA82}">
      <dgm:prSet phldrT="[文本]"/>
      <dgm:spPr/>
      <dgm:t>
        <a:bodyPr/>
        <a:p>
          <a:pPr algn="l"/>
          <a:r>
            <a:rPr lang="zh-CN" altLang="en-US"/>
            <a:t>跨体系平台</a:t>
          </a:r>
        </a:p>
      </dgm:t>
    </dgm:pt>
    <dgm:pt modelId="{8E6ABCD6-4EE6-440C-BCD2-89057DA4517B}" cxnId="{A8AA760D-1019-4C49-9839-FEDB93B692F8}" type="parTrans">
      <dgm:prSet/>
      <dgm:spPr/>
      <dgm:t>
        <a:bodyPr/>
        <a:p>
          <a:pPr algn="l"/>
          <a:endParaRPr lang="zh-CN" altLang="en-US"/>
        </a:p>
      </dgm:t>
    </dgm:pt>
    <dgm:pt modelId="{EB4C7D56-DF85-4B43-894B-3C4D2144AF7D}" cxnId="{A8AA760D-1019-4C49-9839-FEDB93B692F8}" type="sibTrans">
      <dgm:prSet/>
      <dgm:spPr/>
      <dgm:t>
        <a:bodyPr/>
        <a:p>
          <a:pPr algn="l"/>
          <a:endParaRPr lang="zh-CN" altLang="en-US"/>
        </a:p>
      </dgm:t>
    </dgm:pt>
    <dgm:pt modelId="{4810483A-4CC8-4F6E-B35B-AAF822E7437A}">
      <dgm:prSet phldrT="[文本]"/>
      <dgm:spPr/>
      <dgm:t>
        <a:bodyPr/>
        <a:p>
          <a:pPr algn="l"/>
          <a:r>
            <a:rPr lang="zh-CN" altLang="en-US"/>
            <a:t>质量分析大数据平台</a:t>
          </a:r>
        </a:p>
      </dgm:t>
    </dgm:pt>
    <dgm:pt modelId="{75011884-038A-44C7-8F59-AED94B1394D5}" cxnId="{D5DFD384-8F0F-48E9-B7C3-CA1A2F27C663}" type="parTrans">
      <dgm:prSet/>
      <dgm:spPr/>
      <dgm:t>
        <a:bodyPr/>
        <a:p>
          <a:pPr algn="l"/>
          <a:endParaRPr lang="zh-CN" altLang="en-US"/>
        </a:p>
      </dgm:t>
    </dgm:pt>
    <dgm:pt modelId="{C4B5078E-0E0A-427E-A6A4-9F652747A468}" cxnId="{D5DFD384-8F0F-48E9-B7C3-CA1A2F27C663}" type="sibTrans">
      <dgm:prSet/>
      <dgm:spPr/>
      <dgm:t>
        <a:bodyPr/>
        <a:p>
          <a:pPr algn="l"/>
          <a:endParaRPr lang="zh-CN" altLang="en-US"/>
        </a:p>
      </dgm:t>
    </dgm:pt>
    <dgm:pt modelId="{9DF6536C-91C5-454C-8EDE-868F06357932}">
      <dgm:prSet/>
      <dgm:spPr/>
      <dgm:t>
        <a:bodyPr/>
        <a:p>
          <a:pPr algn="l"/>
          <a:r>
            <a:rPr lang="zh-CN" altLang="en-US"/>
            <a:t>第三期</a:t>
          </a:r>
          <a:endParaRPr lang="en-US" altLang="zh-CN"/>
        </a:p>
        <a:p>
          <a:pPr algn="l"/>
          <a:r>
            <a:rPr lang="zh-CN" altLang="en-US"/>
            <a:t>仿真管理平台</a:t>
          </a:r>
        </a:p>
      </dgm:t>
    </dgm:pt>
    <dgm:pt modelId="{77ECC981-0367-453F-8B3D-B833B11E5999}" cxnId="{CF5B3443-0E18-4972-846C-7B5AC2907B43}" type="parTrans">
      <dgm:prSet/>
      <dgm:spPr/>
      <dgm:t>
        <a:bodyPr/>
        <a:p>
          <a:pPr algn="l"/>
          <a:endParaRPr lang="zh-CN" altLang="en-US"/>
        </a:p>
      </dgm:t>
    </dgm:pt>
    <dgm:pt modelId="{B361F76E-5111-42F5-B27F-FAD54CB6E955}" cxnId="{CF5B3443-0E18-4972-846C-7B5AC2907B43}" type="sibTrans">
      <dgm:prSet/>
      <dgm:spPr/>
      <dgm:t>
        <a:bodyPr/>
        <a:p>
          <a:pPr algn="l"/>
          <a:endParaRPr lang="zh-CN" altLang="en-US"/>
        </a:p>
      </dgm:t>
    </dgm:pt>
    <dgm:pt modelId="{C96B7E01-D98C-497D-B0D9-CC33CC3B0F43}">
      <dgm:prSet phldrT="[文本]"/>
      <dgm:spPr/>
      <dgm:t>
        <a:bodyPr/>
        <a:p>
          <a:pPr algn="l"/>
          <a:r>
            <a:rPr lang="zh-CN" altLang="en-US"/>
            <a:t>机电一体化</a:t>
          </a:r>
        </a:p>
      </dgm:t>
    </dgm:pt>
    <dgm:pt modelId="{6C21637F-AFDD-4626-AAF8-FE5E04A543FC}" cxnId="{9B26826E-24D2-4E93-824A-1B6D58117822}" type="parTrans">
      <dgm:prSet/>
      <dgm:spPr/>
      <dgm:t>
        <a:bodyPr/>
        <a:p>
          <a:pPr algn="l"/>
          <a:endParaRPr lang="zh-CN" altLang="en-US"/>
        </a:p>
      </dgm:t>
    </dgm:pt>
    <dgm:pt modelId="{4A320E7C-EBFE-4489-A0E8-F9CFF58C3501}" cxnId="{9B26826E-24D2-4E93-824A-1B6D58117822}" type="sibTrans">
      <dgm:prSet/>
      <dgm:spPr/>
      <dgm:t>
        <a:bodyPr/>
        <a:p>
          <a:pPr algn="l"/>
          <a:endParaRPr lang="zh-CN" altLang="en-US"/>
        </a:p>
      </dgm:t>
    </dgm:pt>
    <dgm:pt modelId="{1BB63CEE-5899-4DA5-9435-8C900D5F707E}">
      <dgm:prSet phldrT="[文本]"/>
      <dgm:spPr/>
      <dgm:t>
        <a:bodyPr/>
        <a:p>
          <a:pPr algn="l"/>
          <a:r>
            <a:rPr lang="zh-CN" altLang="en-US"/>
            <a:t>设计验证一体化</a:t>
          </a:r>
        </a:p>
      </dgm:t>
    </dgm:pt>
    <dgm:pt modelId="{9BF03EAB-E9C1-494B-96EB-2F2D6DCA5BD3}" cxnId="{78D29842-2B1E-4069-A232-D21736BF1116}" type="parTrans">
      <dgm:prSet/>
      <dgm:spPr/>
      <dgm:t>
        <a:bodyPr/>
        <a:p>
          <a:pPr algn="l"/>
          <a:endParaRPr lang="zh-CN" altLang="en-US"/>
        </a:p>
      </dgm:t>
    </dgm:pt>
    <dgm:pt modelId="{58170EBA-2C15-4A5F-A0CB-E69EBFC6F4D3}" cxnId="{78D29842-2B1E-4069-A232-D21736BF1116}" type="sibTrans">
      <dgm:prSet/>
      <dgm:spPr/>
      <dgm:t>
        <a:bodyPr/>
        <a:p>
          <a:pPr algn="l"/>
          <a:endParaRPr lang="zh-CN" altLang="en-US"/>
        </a:p>
      </dgm:t>
    </dgm:pt>
    <dgm:pt modelId="{F9C96C96-1433-418D-AC6A-C22BB0127236}">
      <dgm:prSet phldrT="[文本]"/>
      <dgm:spPr/>
      <dgm:t>
        <a:bodyPr/>
        <a:p>
          <a:pPr algn="l"/>
          <a:r>
            <a:rPr lang="zh-CN" altLang="en-US"/>
            <a:t>项目协同平台</a:t>
          </a:r>
        </a:p>
      </dgm:t>
    </dgm:pt>
    <dgm:pt modelId="{5D196537-AC0B-4391-A247-F3AE782AC6B9}" cxnId="{311F9159-6C3D-4EF6-BB1D-D9BF3665BDB7}" type="parTrans">
      <dgm:prSet/>
      <dgm:spPr/>
      <dgm:t>
        <a:bodyPr/>
        <a:p>
          <a:endParaRPr lang="zh-CN" altLang="en-US"/>
        </a:p>
      </dgm:t>
    </dgm:pt>
    <dgm:pt modelId="{004A256A-E718-4BAC-B10F-20CC12D9C1A3}" cxnId="{311F9159-6C3D-4EF6-BB1D-D9BF3665BDB7}" type="sibTrans">
      <dgm:prSet/>
      <dgm:spPr/>
      <dgm:t>
        <a:bodyPr/>
        <a:p>
          <a:endParaRPr lang="zh-CN" altLang="en-US"/>
        </a:p>
      </dgm:t>
    </dgm:pt>
    <dgm:pt modelId="{04B16276-3680-4EB1-9B07-FBCF01E2D8FE}">
      <dgm:prSet phldrT="[文本]"/>
      <dgm:spPr/>
      <dgm:t>
        <a:bodyPr/>
        <a:p>
          <a:pPr algn="l"/>
          <a:r>
            <a:rPr lang="en-US" altLang="zh-CN"/>
            <a:t>ERP</a:t>
          </a:r>
          <a:r>
            <a:rPr lang="zh-CN" altLang="en-US"/>
            <a:t>集成</a:t>
          </a:r>
        </a:p>
      </dgm:t>
    </dgm:pt>
    <dgm:pt modelId="{0E92E1EA-81A6-4BAE-86C1-3D065927AFEE}" cxnId="{CC6183B1-1122-4046-9316-E2CF2F4D0D9D}" type="parTrans">
      <dgm:prSet/>
      <dgm:spPr/>
      <dgm:t>
        <a:bodyPr/>
        <a:p>
          <a:endParaRPr lang="zh-CN" altLang="en-US"/>
        </a:p>
      </dgm:t>
    </dgm:pt>
    <dgm:pt modelId="{698EF331-F580-4BF1-AABE-2745BEC94250}" cxnId="{CC6183B1-1122-4046-9316-E2CF2F4D0D9D}" type="sibTrans">
      <dgm:prSet/>
      <dgm:spPr/>
      <dgm:t>
        <a:bodyPr/>
        <a:p>
          <a:endParaRPr lang="zh-CN" altLang="en-US"/>
        </a:p>
      </dgm:t>
    </dgm:pt>
    <dgm:pt modelId="{322CE5BB-42EE-4BFB-BDCF-7D90C772CD42}">
      <dgm:prSet phldrT="[文本]"/>
      <dgm:spPr/>
      <dgm:t>
        <a:bodyPr/>
        <a:p>
          <a:pPr algn="l"/>
          <a:r>
            <a:rPr lang="zh-CN" altLang="en-US"/>
            <a:t>工艺管理</a:t>
          </a:r>
        </a:p>
      </dgm:t>
    </dgm:pt>
    <dgm:pt modelId="{11698697-ECC8-4D87-9E32-93E5B412CFB8}" cxnId="{68CFFD97-758A-4FF2-8182-2567DAE1D263}" type="parTrans">
      <dgm:prSet/>
      <dgm:spPr/>
      <dgm:t>
        <a:bodyPr/>
        <a:p>
          <a:endParaRPr lang="zh-CN" altLang="en-US"/>
        </a:p>
      </dgm:t>
    </dgm:pt>
    <dgm:pt modelId="{E01F1C0F-D089-4A10-9E85-8775C4410FE0}" cxnId="{68CFFD97-758A-4FF2-8182-2567DAE1D263}" type="sibTrans">
      <dgm:prSet/>
      <dgm:spPr/>
      <dgm:t>
        <a:bodyPr/>
        <a:p>
          <a:endParaRPr lang="zh-CN" altLang="en-US"/>
        </a:p>
      </dgm:t>
    </dgm:pt>
    <dgm:pt modelId="{9A9F009A-9AD2-4163-8BC7-15602FC043F9}" type="pres">
      <dgm:prSet presAssocID="{CBFE00B1-4E21-4BC3-A865-F06FE1C41DBA}" presName="Name0" presStyleCnt="0">
        <dgm:presLayoutVars>
          <dgm:dir/>
          <dgm:animLvl val="lvl"/>
          <dgm:resizeHandles val="exact"/>
        </dgm:presLayoutVars>
      </dgm:prSet>
      <dgm:spPr/>
    </dgm:pt>
    <dgm:pt modelId="{FB3A6B32-D71C-4845-A730-5656BD86F2EC}" type="pres">
      <dgm:prSet presAssocID="{CBFE00B1-4E21-4BC3-A865-F06FE1C41DBA}" presName="tSp" presStyleCnt="0"/>
      <dgm:spPr/>
    </dgm:pt>
    <dgm:pt modelId="{D61867FA-9F9D-453F-95C3-FCE85C93E617}" type="pres">
      <dgm:prSet presAssocID="{CBFE00B1-4E21-4BC3-A865-F06FE1C41DBA}" presName="bSp" presStyleCnt="0"/>
      <dgm:spPr/>
    </dgm:pt>
    <dgm:pt modelId="{EA7AED43-EF34-420B-998B-61E72FEBE1AA}" type="pres">
      <dgm:prSet presAssocID="{CBFE00B1-4E21-4BC3-A865-F06FE1C41DBA}" presName="process" presStyleCnt="0"/>
      <dgm:spPr/>
    </dgm:pt>
    <dgm:pt modelId="{538E7B6B-5BEB-42C3-AE1F-7BF34C71B145}" type="pres">
      <dgm:prSet presAssocID="{F8AF0B11-5194-43DF-9A70-A9364137BEA3}" presName="composite1" presStyleCnt="0"/>
      <dgm:spPr/>
    </dgm:pt>
    <dgm:pt modelId="{773CC56B-241C-490C-96FA-D197432038C6}" type="pres">
      <dgm:prSet presAssocID="{F8AF0B11-5194-43DF-9A70-A9364137BEA3}" presName="dummyNode1" presStyleLbl="node1" presStyleIdx="0" presStyleCnt="3"/>
      <dgm:spPr/>
    </dgm:pt>
    <dgm:pt modelId="{E027E763-2D2D-47A4-A199-B96EEFF48822}" type="pres">
      <dgm:prSet presAssocID="{F8AF0B11-5194-43DF-9A70-A9364137BEA3}" presName="childNode1" presStyleLbl="bgAcc1" presStyleIdx="0" presStyleCnt="3">
        <dgm:presLayoutVars>
          <dgm:bulletEnabled val="1"/>
        </dgm:presLayoutVars>
      </dgm:prSet>
      <dgm:spPr/>
    </dgm:pt>
    <dgm:pt modelId="{601803E7-B35D-44EF-B403-3C50E5C451C1}" type="pres">
      <dgm:prSet presAssocID="{F8AF0B11-5194-43DF-9A70-A9364137BEA3}" presName="childNode1tx" presStyleLbl="bgAcc1" presStyleIdx="0" presStyleCnt="3">
        <dgm:presLayoutVars>
          <dgm:bulletEnabled val="1"/>
        </dgm:presLayoutVars>
      </dgm:prSet>
      <dgm:spPr/>
    </dgm:pt>
    <dgm:pt modelId="{14531AB3-DB4E-4B18-99CF-C2E0EE5FDB15}" type="pres">
      <dgm:prSet presAssocID="{F8AF0B11-5194-43DF-9A70-A9364137BEA3}" presName="parentNode1" presStyleLbl="node1" presStyleIdx="0" presStyleCnt="3">
        <dgm:presLayoutVars>
          <dgm:chMax val="1"/>
          <dgm:bulletEnabled val="1"/>
        </dgm:presLayoutVars>
      </dgm:prSet>
      <dgm:spPr/>
    </dgm:pt>
    <dgm:pt modelId="{10276F25-23B4-4A45-A5F9-6F0E6DA6D5F1}" type="pres">
      <dgm:prSet presAssocID="{F8AF0B11-5194-43DF-9A70-A9364137BEA3}" presName="connSite1" presStyleCnt="0"/>
      <dgm:spPr/>
    </dgm:pt>
    <dgm:pt modelId="{C23A4DD3-84B9-4BCC-AF7C-01D30CA37475}" type="pres">
      <dgm:prSet presAssocID="{9EE3B6DD-46C6-4990-8D74-D30B5CA1232A}" presName="Name9" presStyleLbl="sibTrans2D1" presStyleIdx="0" presStyleCnt="2"/>
      <dgm:spPr/>
    </dgm:pt>
    <dgm:pt modelId="{BF77AAA2-A31D-4A0C-8185-3DEAF43EFA35}" type="pres">
      <dgm:prSet presAssocID="{9DF6536C-91C5-454C-8EDE-868F06357932}" presName="composite2" presStyleCnt="0"/>
      <dgm:spPr/>
    </dgm:pt>
    <dgm:pt modelId="{BA6D3E19-7E95-476F-A083-0DDED0919C7A}" type="pres">
      <dgm:prSet presAssocID="{9DF6536C-91C5-454C-8EDE-868F06357932}" presName="dummyNode2" presStyleLbl="node1" presStyleIdx="0" presStyleCnt="3"/>
      <dgm:spPr/>
    </dgm:pt>
    <dgm:pt modelId="{F58BA88F-CDCB-4281-9BAD-8EC312CAA5E2}" type="pres">
      <dgm:prSet presAssocID="{9DF6536C-91C5-454C-8EDE-868F06357932}" presName="childNode2" presStyleLbl="bgAcc1" presStyleIdx="1" presStyleCnt="3">
        <dgm:presLayoutVars>
          <dgm:bulletEnabled val="1"/>
        </dgm:presLayoutVars>
      </dgm:prSet>
      <dgm:spPr/>
    </dgm:pt>
    <dgm:pt modelId="{28394218-E7A9-40DA-A243-887EAB01ED22}" type="pres">
      <dgm:prSet presAssocID="{9DF6536C-91C5-454C-8EDE-868F06357932}" presName="childNode2tx" presStyleLbl="bgAcc1" presStyleIdx="1" presStyleCnt="3">
        <dgm:presLayoutVars>
          <dgm:bulletEnabled val="1"/>
        </dgm:presLayoutVars>
      </dgm:prSet>
      <dgm:spPr/>
    </dgm:pt>
    <dgm:pt modelId="{FEAFD7FE-0AF2-4EFB-B455-F3E2668CE2ED}" type="pres">
      <dgm:prSet presAssocID="{9DF6536C-91C5-454C-8EDE-868F06357932}" presName="parentNode2" presStyleLbl="node1" presStyleIdx="1" presStyleCnt="3">
        <dgm:presLayoutVars>
          <dgm:chMax val="0"/>
          <dgm:bulletEnabled val="1"/>
        </dgm:presLayoutVars>
      </dgm:prSet>
      <dgm:spPr/>
    </dgm:pt>
    <dgm:pt modelId="{359CCB61-5849-42C3-887B-42947B1A6FF9}" type="pres">
      <dgm:prSet presAssocID="{9DF6536C-91C5-454C-8EDE-868F06357932}" presName="connSite2" presStyleCnt="0"/>
      <dgm:spPr/>
    </dgm:pt>
    <dgm:pt modelId="{00509651-018F-47C4-AE90-715C3DDE9CE1}" type="pres">
      <dgm:prSet presAssocID="{B361F76E-5111-42F5-B27F-FAD54CB6E955}" presName="Name18" presStyleLbl="sibTrans2D1" presStyleIdx="1" presStyleCnt="2"/>
      <dgm:spPr/>
    </dgm:pt>
    <dgm:pt modelId="{1567931C-49E8-4E33-B6D6-E822177C2514}" type="pres">
      <dgm:prSet presAssocID="{51FF7301-5792-4467-8D6C-D87D49D7F2DC}" presName="composite1" presStyleCnt="0"/>
      <dgm:spPr/>
    </dgm:pt>
    <dgm:pt modelId="{F5519400-26E7-4074-A577-FBD13712E456}" type="pres">
      <dgm:prSet presAssocID="{51FF7301-5792-4467-8D6C-D87D49D7F2DC}" presName="dummyNode1" presStyleLbl="node1" presStyleIdx="1" presStyleCnt="3"/>
      <dgm:spPr/>
    </dgm:pt>
    <dgm:pt modelId="{2B78BD63-57C3-45E8-AA2D-5493ECC7A853}" type="pres">
      <dgm:prSet presAssocID="{51FF7301-5792-4467-8D6C-D87D49D7F2DC}" presName="childNode1" presStyleLbl="bgAcc1" presStyleIdx="2" presStyleCnt="3">
        <dgm:presLayoutVars>
          <dgm:bulletEnabled val="1"/>
        </dgm:presLayoutVars>
      </dgm:prSet>
      <dgm:spPr/>
    </dgm:pt>
    <dgm:pt modelId="{F602AC0E-A838-434C-B99F-BBA482E67340}" type="pres">
      <dgm:prSet presAssocID="{51FF7301-5792-4467-8D6C-D87D49D7F2DC}" presName="childNode1tx" presStyleLbl="bgAcc1" presStyleIdx="2" presStyleCnt="3">
        <dgm:presLayoutVars>
          <dgm:bulletEnabled val="1"/>
        </dgm:presLayoutVars>
      </dgm:prSet>
      <dgm:spPr/>
    </dgm:pt>
    <dgm:pt modelId="{8E4358BB-F521-49FC-8ED0-5665A1774CC4}" type="pres">
      <dgm:prSet presAssocID="{51FF7301-5792-4467-8D6C-D87D49D7F2DC}" presName="parentNode1" presStyleLbl="node1" presStyleIdx="2" presStyleCnt="3">
        <dgm:presLayoutVars>
          <dgm:chMax val="1"/>
          <dgm:bulletEnabled val="1"/>
        </dgm:presLayoutVars>
      </dgm:prSet>
      <dgm:spPr/>
    </dgm:pt>
    <dgm:pt modelId="{9E7D0A15-37BA-43FE-97D1-AF42109CE556}" type="pres">
      <dgm:prSet presAssocID="{51FF7301-5792-4467-8D6C-D87D49D7F2DC}" presName="connSite1" presStyleCnt="0"/>
      <dgm:spPr/>
    </dgm:pt>
  </dgm:ptLst>
  <dgm:cxnLst>
    <dgm:cxn modelId="{9994CF01-17A1-4BE2-804F-A7D3101D566D}" srcId="{9DF6536C-91C5-454C-8EDE-868F06357932}" destId="{E97A7D89-6E9A-4E8F-8286-74FC6F77BE72}" srcOrd="2" destOrd="0" parTransId="{97587B1F-887F-4589-A20E-09813276A014}" sibTransId="{6B7BB80E-2A9A-4897-AA38-1ADC3ED0FBEA}"/>
    <dgm:cxn modelId="{D55A9604-10F2-4AB4-BC2E-AFCB42DDD75C}" type="presOf" srcId="{F8AF0B11-5194-43DF-9A70-A9364137BEA3}" destId="{14531AB3-DB4E-4B18-99CF-C2E0EE5FDB15}" srcOrd="0" destOrd="0" presId="urn:microsoft.com/office/officeart/2005/8/layout/hProcess4"/>
    <dgm:cxn modelId="{E4BE4208-CEEF-43DC-B958-09AD34F94FC3}" type="presOf" srcId="{96F786CF-1705-495D-90C9-CE40A1C363B9}" destId="{2B78BD63-57C3-45E8-AA2D-5493ECC7A853}" srcOrd="0" destOrd="0" presId="urn:microsoft.com/office/officeart/2005/8/layout/hProcess4"/>
    <dgm:cxn modelId="{DED9D50C-D5AE-4515-BABA-8F3CB98F2C20}" type="presOf" srcId="{04B16276-3680-4EB1-9B07-FBCF01E2D8FE}" destId="{E027E763-2D2D-47A4-A199-B96EEFF48822}" srcOrd="0" destOrd="4" presId="urn:microsoft.com/office/officeart/2005/8/layout/hProcess4"/>
    <dgm:cxn modelId="{A8AA760D-1019-4C49-9839-FEDB93B692F8}" srcId="{51FF7301-5792-4467-8D6C-D87D49D7F2DC}" destId="{508F41FD-2E7B-4AAE-8693-57D92EB2AA82}" srcOrd="2" destOrd="0" parTransId="{8E6ABCD6-4EE6-440C-BCD2-89057DA4517B}" sibTransId="{EB4C7D56-DF85-4B43-894B-3C4D2144AF7D}"/>
    <dgm:cxn modelId="{42B57415-A269-4FB8-9BC7-95EF8E7F92A6}" type="presOf" srcId="{8709A1DB-B300-4E7E-B109-1143CA984D32}" destId="{E027E763-2D2D-47A4-A199-B96EEFF48822}" srcOrd="0" destOrd="1" presId="urn:microsoft.com/office/officeart/2005/8/layout/hProcess4"/>
    <dgm:cxn modelId="{044BDA1F-BA7B-49B9-8483-E98B79C0B4A8}" type="presOf" srcId="{027FC2F7-A96E-425F-AD26-0A919E627E82}" destId="{E027E763-2D2D-47A4-A199-B96EEFF48822}" srcOrd="0" destOrd="2" presId="urn:microsoft.com/office/officeart/2005/8/layout/hProcess4"/>
    <dgm:cxn modelId="{D1A9A221-C075-419C-8A9C-E14AF36EFD03}" type="presOf" srcId="{F9C96C96-1433-418D-AC6A-C22BB0127236}" destId="{601803E7-B35D-44EF-B403-3C50E5C451C1}" srcOrd="1" destOrd="3" presId="urn:microsoft.com/office/officeart/2005/8/layout/hProcess4"/>
    <dgm:cxn modelId="{E0FF4525-0CCB-474C-AB03-C02CBC3B575D}" srcId="{51FF7301-5792-4467-8D6C-D87D49D7F2DC}" destId="{96F786CF-1705-495D-90C9-CE40A1C363B9}" srcOrd="0" destOrd="0" parTransId="{FF5F97D3-2B5C-40DD-B1BB-B93CFC1F4B08}" sibTransId="{3A82C76E-9949-421B-BD9B-39C3DC060A91}"/>
    <dgm:cxn modelId="{05DCBE31-6D00-4859-AEB8-2A3EE6346196}" srcId="{51FF7301-5792-4467-8D6C-D87D49D7F2DC}" destId="{6E927495-8EBA-4F8A-8FF9-CB1FCCE58FF1}" srcOrd="1" destOrd="0" parTransId="{6C5743BE-7918-4768-ABF7-D622D8F8A54B}" sibTransId="{40008124-3A5A-401B-B9A5-DDABC5339479}"/>
    <dgm:cxn modelId="{C8600D5D-76FF-41BF-AEE4-F9D73B06E52B}" type="presOf" srcId="{4810483A-4CC8-4F6E-B35B-AAF822E7437A}" destId="{2B78BD63-57C3-45E8-AA2D-5493ECC7A853}" srcOrd="0" destOrd="3" presId="urn:microsoft.com/office/officeart/2005/8/layout/hProcess4"/>
    <dgm:cxn modelId="{78D29842-2B1E-4069-A232-D21736BF1116}" srcId="{9DF6536C-91C5-454C-8EDE-868F06357932}" destId="{1BB63CEE-5899-4DA5-9435-8C900D5F707E}" srcOrd="1" destOrd="0" parTransId="{9BF03EAB-E9C1-494B-96EB-2F2D6DCA5BD3}" sibTransId="{58170EBA-2C15-4A5F-A0CB-E69EBFC6F4D3}"/>
    <dgm:cxn modelId="{CF5B3443-0E18-4972-846C-7B5AC2907B43}" srcId="{CBFE00B1-4E21-4BC3-A865-F06FE1C41DBA}" destId="{9DF6536C-91C5-454C-8EDE-868F06357932}" srcOrd="1" destOrd="0" parTransId="{77ECC981-0367-453F-8B3D-B833B11E5999}" sibTransId="{B361F76E-5111-42F5-B27F-FAD54CB6E955}"/>
    <dgm:cxn modelId="{3AA64343-C99F-4BC4-8E19-99F34ECBAF7A}" type="presOf" srcId="{CBFE00B1-4E21-4BC3-A865-F06FE1C41DBA}" destId="{9A9F009A-9AD2-4163-8BC7-15602FC043F9}" srcOrd="0" destOrd="0" presId="urn:microsoft.com/office/officeart/2005/8/layout/hProcess4"/>
    <dgm:cxn modelId="{61E83D69-4DF9-4097-BBB6-38D5A0941EF4}" type="presOf" srcId="{96F786CF-1705-495D-90C9-CE40A1C363B9}" destId="{F602AC0E-A838-434C-B99F-BBA482E67340}" srcOrd="1" destOrd="0" presId="urn:microsoft.com/office/officeart/2005/8/layout/hProcess4"/>
    <dgm:cxn modelId="{7EAC1C4A-6EFF-4E6F-9B7C-D2F76BD5EB22}" type="presOf" srcId="{9DF6536C-91C5-454C-8EDE-868F06357932}" destId="{FEAFD7FE-0AF2-4EFB-B455-F3E2668CE2ED}" srcOrd="0" destOrd="0" presId="urn:microsoft.com/office/officeart/2005/8/layout/hProcess4"/>
    <dgm:cxn modelId="{F9E3116D-5622-4257-B2B7-596BA3B1019F}" type="presOf" srcId="{04B16276-3680-4EB1-9B07-FBCF01E2D8FE}" destId="{601803E7-B35D-44EF-B403-3C50E5C451C1}" srcOrd="1" destOrd="4" presId="urn:microsoft.com/office/officeart/2005/8/layout/hProcess4"/>
    <dgm:cxn modelId="{9B26826E-24D2-4E93-824A-1B6D58117822}" srcId="{9DF6536C-91C5-454C-8EDE-868F06357932}" destId="{C96B7E01-D98C-497D-B0D9-CC33CC3B0F43}" srcOrd="0" destOrd="0" parTransId="{6C21637F-AFDD-4626-AAF8-FE5E04A543FC}" sibTransId="{4A320E7C-EBFE-4489-A0E8-F9CFF58C3501}"/>
    <dgm:cxn modelId="{09950E73-2D44-44CB-8CAE-859F1D49E3CC}" srcId="{CBFE00B1-4E21-4BC3-A865-F06FE1C41DBA}" destId="{51FF7301-5792-4467-8D6C-D87D49D7F2DC}" srcOrd="2" destOrd="0" parTransId="{5E42950D-BC1C-4ADC-90C3-73097F64029A}" sibTransId="{8655121F-BD72-4EDB-8644-BF3AD5E9B37C}"/>
    <dgm:cxn modelId="{26CAD556-3133-4BFF-AC3F-379049FFA7FA}" srcId="{CBFE00B1-4E21-4BC3-A865-F06FE1C41DBA}" destId="{F8AF0B11-5194-43DF-9A70-A9364137BEA3}" srcOrd="0" destOrd="0" parTransId="{48D09710-02DA-4DD8-8CD6-6EE2BF8A8609}" sibTransId="{9EE3B6DD-46C6-4990-8D74-D30B5CA1232A}"/>
    <dgm:cxn modelId="{6E742A77-E97F-45B3-BE7B-72ECAA12EC46}" type="presOf" srcId="{1BB63CEE-5899-4DA5-9435-8C900D5F707E}" destId="{28394218-E7A9-40DA-A243-887EAB01ED22}" srcOrd="1" destOrd="1" presId="urn:microsoft.com/office/officeart/2005/8/layout/hProcess4"/>
    <dgm:cxn modelId="{311F9159-6C3D-4EF6-BB1D-D9BF3665BDB7}" srcId="{F8AF0B11-5194-43DF-9A70-A9364137BEA3}" destId="{F9C96C96-1433-418D-AC6A-C22BB0127236}" srcOrd="3" destOrd="0" parTransId="{5D196537-AC0B-4391-A247-F3AE782AC6B9}" sibTransId="{004A256A-E718-4BAC-B10F-20CC12D9C1A3}"/>
    <dgm:cxn modelId="{37A9957A-4AAD-4FF1-985A-8DBFFF5B037B}" type="presOf" srcId="{E97A7D89-6E9A-4E8F-8286-74FC6F77BE72}" destId="{F58BA88F-CDCB-4281-9BAD-8EC312CAA5E2}" srcOrd="0" destOrd="2" presId="urn:microsoft.com/office/officeart/2005/8/layout/hProcess4"/>
    <dgm:cxn modelId="{60040A7D-8487-4CA4-B657-190F98034357}" type="presOf" srcId="{1BB63CEE-5899-4DA5-9435-8C900D5F707E}" destId="{F58BA88F-CDCB-4281-9BAD-8EC312CAA5E2}" srcOrd="0" destOrd="1" presId="urn:microsoft.com/office/officeart/2005/8/layout/hProcess4"/>
    <dgm:cxn modelId="{4C07667E-21EF-4975-95E9-39EDFC2435B2}" type="presOf" srcId="{027FC2F7-A96E-425F-AD26-0A919E627E82}" destId="{601803E7-B35D-44EF-B403-3C50E5C451C1}" srcOrd="1" destOrd="2" presId="urn:microsoft.com/office/officeart/2005/8/layout/hProcess4"/>
    <dgm:cxn modelId="{D1025284-DFF1-4502-A986-BC68F0FB4969}" type="presOf" srcId="{9EE3B6DD-46C6-4990-8D74-D30B5CA1232A}" destId="{C23A4DD3-84B9-4BCC-AF7C-01D30CA37475}" srcOrd="0" destOrd="0" presId="urn:microsoft.com/office/officeart/2005/8/layout/hProcess4"/>
    <dgm:cxn modelId="{D5DFD384-8F0F-48E9-B7C3-CA1A2F27C663}" srcId="{51FF7301-5792-4467-8D6C-D87D49D7F2DC}" destId="{4810483A-4CC8-4F6E-B35B-AAF822E7437A}" srcOrd="3" destOrd="0" parTransId="{75011884-038A-44C7-8F59-AED94B1394D5}" sibTransId="{C4B5078E-0E0A-427E-A6A4-9F652747A468}"/>
    <dgm:cxn modelId="{21575090-8D5C-4193-BD98-23D1801483DC}" type="presOf" srcId="{508F41FD-2E7B-4AAE-8693-57D92EB2AA82}" destId="{F602AC0E-A838-434C-B99F-BBA482E67340}" srcOrd="1" destOrd="2" presId="urn:microsoft.com/office/officeart/2005/8/layout/hProcess4"/>
    <dgm:cxn modelId="{F4690397-A77D-4918-B838-DF03B7CB3D60}" type="presOf" srcId="{322CE5BB-42EE-4BFB-BDCF-7D90C772CD42}" destId="{601803E7-B35D-44EF-B403-3C50E5C451C1}" srcOrd="1" destOrd="5" presId="urn:microsoft.com/office/officeart/2005/8/layout/hProcess4"/>
    <dgm:cxn modelId="{68CFFD97-758A-4FF2-8182-2567DAE1D263}" srcId="{F8AF0B11-5194-43DF-9A70-A9364137BEA3}" destId="{322CE5BB-42EE-4BFB-BDCF-7D90C772CD42}" srcOrd="5" destOrd="0" parTransId="{11698697-ECC8-4D87-9E32-93E5B412CFB8}" sibTransId="{E01F1C0F-D089-4A10-9E85-8775C4410FE0}"/>
    <dgm:cxn modelId="{028A0FA3-5E5F-4626-95A2-DF1C6507778B}" type="presOf" srcId="{DE1ED8D0-B39B-4237-B595-E65278955FE5}" destId="{E027E763-2D2D-47A4-A199-B96EEFF48822}" srcOrd="0" destOrd="0" presId="urn:microsoft.com/office/officeart/2005/8/layout/hProcess4"/>
    <dgm:cxn modelId="{A4B0B8A3-4863-403F-A2E6-1353DD67A951}" srcId="{F8AF0B11-5194-43DF-9A70-A9364137BEA3}" destId="{8709A1DB-B300-4E7E-B109-1143CA984D32}" srcOrd="1" destOrd="0" parTransId="{0AE03905-AA80-4D58-98A6-EC90F5ABFB25}" sibTransId="{99F60C3B-D4E6-4C28-99DE-79F95A1FD2EA}"/>
    <dgm:cxn modelId="{E9F009AA-AE8B-4B11-A1D6-48008E4D332E}" type="presOf" srcId="{508F41FD-2E7B-4AAE-8693-57D92EB2AA82}" destId="{2B78BD63-57C3-45E8-AA2D-5493ECC7A853}" srcOrd="0" destOrd="2" presId="urn:microsoft.com/office/officeart/2005/8/layout/hProcess4"/>
    <dgm:cxn modelId="{A0E589AA-50B1-4939-BE0E-F4A352B28A85}" type="presOf" srcId="{C96B7E01-D98C-497D-B0D9-CC33CC3B0F43}" destId="{28394218-E7A9-40DA-A243-887EAB01ED22}" srcOrd="1" destOrd="0" presId="urn:microsoft.com/office/officeart/2005/8/layout/hProcess4"/>
    <dgm:cxn modelId="{2D9DDAAC-8B90-409F-93A5-ADDEAA07428C}" srcId="{F8AF0B11-5194-43DF-9A70-A9364137BEA3}" destId="{027FC2F7-A96E-425F-AD26-0A919E627E82}" srcOrd="2" destOrd="0" parTransId="{572B0709-C2DA-4DC3-AD7F-14FC1054F521}" sibTransId="{612446DA-F78C-4B53-88DF-48CAE12EFB38}"/>
    <dgm:cxn modelId="{CC6183B1-1122-4046-9316-E2CF2F4D0D9D}" srcId="{F8AF0B11-5194-43DF-9A70-A9364137BEA3}" destId="{04B16276-3680-4EB1-9B07-FBCF01E2D8FE}" srcOrd="4" destOrd="0" parTransId="{0E92E1EA-81A6-4BAE-86C1-3D065927AFEE}" sibTransId="{698EF331-F580-4BF1-AABE-2745BEC94250}"/>
    <dgm:cxn modelId="{3F9A5AB4-F158-4D40-9897-448D371C3B02}" type="presOf" srcId="{E97A7D89-6E9A-4E8F-8286-74FC6F77BE72}" destId="{28394218-E7A9-40DA-A243-887EAB01ED22}" srcOrd="1" destOrd="2" presId="urn:microsoft.com/office/officeart/2005/8/layout/hProcess4"/>
    <dgm:cxn modelId="{5E14CEC0-0F83-47D6-B4D5-4BC9C9D37F7F}" type="presOf" srcId="{4810483A-4CC8-4F6E-B35B-AAF822E7437A}" destId="{F602AC0E-A838-434C-B99F-BBA482E67340}" srcOrd="1" destOrd="3" presId="urn:microsoft.com/office/officeart/2005/8/layout/hProcess4"/>
    <dgm:cxn modelId="{ECD6A0C3-81E9-44B6-B026-BFC581BCA6E7}" type="presOf" srcId="{322CE5BB-42EE-4BFB-BDCF-7D90C772CD42}" destId="{E027E763-2D2D-47A4-A199-B96EEFF48822}" srcOrd="0" destOrd="5" presId="urn:microsoft.com/office/officeart/2005/8/layout/hProcess4"/>
    <dgm:cxn modelId="{B2E6FBDC-DC6F-4F27-926C-BF19AD2D6359}" type="presOf" srcId="{B361F76E-5111-42F5-B27F-FAD54CB6E955}" destId="{00509651-018F-47C4-AE90-715C3DDE9CE1}" srcOrd="0" destOrd="0" presId="urn:microsoft.com/office/officeart/2005/8/layout/hProcess4"/>
    <dgm:cxn modelId="{BB84C6DE-3537-4932-8F87-AAF9E275DAB4}" type="presOf" srcId="{51FF7301-5792-4467-8D6C-D87D49D7F2DC}" destId="{8E4358BB-F521-49FC-8ED0-5665A1774CC4}" srcOrd="0" destOrd="0" presId="urn:microsoft.com/office/officeart/2005/8/layout/hProcess4"/>
    <dgm:cxn modelId="{389A11E6-A440-4EA8-8DAB-7B3628596774}" type="presOf" srcId="{F9C96C96-1433-418D-AC6A-C22BB0127236}" destId="{E027E763-2D2D-47A4-A199-B96EEFF48822}" srcOrd="0" destOrd="3" presId="urn:microsoft.com/office/officeart/2005/8/layout/hProcess4"/>
    <dgm:cxn modelId="{8577F4EE-120E-44DA-84EA-89D749A0F987}" type="presOf" srcId="{6E927495-8EBA-4F8A-8FF9-CB1FCCE58FF1}" destId="{F602AC0E-A838-434C-B99F-BBA482E67340}" srcOrd="1" destOrd="1" presId="urn:microsoft.com/office/officeart/2005/8/layout/hProcess4"/>
    <dgm:cxn modelId="{12E1E7F0-3302-41E9-8A5C-08077B764877}" type="presOf" srcId="{C96B7E01-D98C-497D-B0D9-CC33CC3B0F43}" destId="{F58BA88F-CDCB-4281-9BAD-8EC312CAA5E2}" srcOrd="0" destOrd="0" presId="urn:microsoft.com/office/officeart/2005/8/layout/hProcess4"/>
    <dgm:cxn modelId="{3D3BEEF0-2B84-4C25-BDDD-E62DB027EA95}" type="presOf" srcId="{8709A1DB-B300-4E7E-B109-1143CA984D32}" destId="{601803E7-B35D-44EF-B403-3C50E5C451C1}" srcOrd="1" destOrd="1" presId="urn:microsoft.com/office/officeart/2005/8/layout/hProcess4"/>
    <dgm:cxn modelId="{B7CC1CF1-CDE5-420A-A390-05B9D8CA6CBC}" srcId="{F8AF0B11-5194-43DF-9A70-A9364137BEA3}" destId="{DE1ED8D0-B39B-4237-B595-E65278955FE5}" srcOrd="0" destOrd="0" parTransId="{8B616FA1-78D4-41E9-8974-252E9B81EE89}" sibTransId="{47B2C7FA-2784-406D-A9EB-91AD9EDEE43B}"/>
    <dgm:cxn modelId="{CF3B7BF8-BE5F-4936-A58F-84B98D717EE3}" type="presOf" srcId="{6E927495-8EBA-4F8A-8FF9-CB1FCCE58FF1}" destId="{2B78BD63-57C3-45E8-AA2D-5493ECC7A853}" srcOrd="0" destOrd="1" presId="urn:microsoft.com/office/officeart/2005/8/layout/hProcess4"/>
    <dgm:cxn modelId="{5C527EF9-F4B9-47A0-B4AF-FCAB0C67ED8A}" type="presOf" srcId="{DE1ED8D0-B39B-4237-B595-E65278955FE5}" destId="{601803E7-B35D-44EF-B403-3C50E5C451C1}" srcOrd="1" destOrd="0" presId="urn:microsoft.com/office/officeart/2005/8/layout/hProcess4"/>
    <dgm:cxn modelId="{26E7AA04-DD9E-4042-BB92-82819817D54B}" type="presParOf" srcId="{9A9F009A-9AD2-4163-8BC7-15602FC043F9}" destId="{FB3A6B32-D71C-4845-A730-5656BD86F2EC}" srcOrd="0" destOrd="0" presId="urn:microsoft.com/office/officeart/2005/8/layout/hProcess4"/>
    <dgm:cxn modelId="{75F6F2C7-138A-4A7F-AF3F-0D7E05218547}" type="presParOf" srcId="{9A9F009A-9AD2-4163-8BC7-15602FC043F9}" destId="{D61867FA-9F9D-453F-95C3-FCE85C93E617}" srcOrd="1" destOrd="0" presId="urn:microsoft.com/office/officeart/2005/8/layout/hProcess4"/>
    <dgm:cxn modelId="{D83687F6-5FF0-457E-A20E-A1DA5FC5E9E8}" type="presParOf" srcId="{9A9F009A-9AD2-4163-8BC7-15602FC043F9}" destId="{EA7AED43-EF34-420B-998B-61E72FEBE1AA}" srcOrd="2" destOrd="0" presId="urn:microsoft.com/office/officeart/2005/8/layout/hProcess4"/>
    <dgm:cxn modelId="{45A67801-C74B-482C-B568-07EA5D1D4C27}" type="presParOf" srcId="{EA7AED43-EF34-420B-998B-61E72FEBE1AA}" destId="{538E7B6B-5BEB-42C3-AE1F-7BF34C71B145}" srcOrd="0" destOrd="0" presId="urn:microsoft.com/office/officeart/2005/8/layout/hProcess4"/>
    <dgm:cxn modelId="{06F4893F-E389-4362-9FF9-32023FED17CB}" type="presParOf" srcId="{538E7B6B-5BEB-42C3-AE1F-7BF34C71B145}" destId="{773CC56B-241C-490C-96FA-D197432038C6}" srcOrd="0" destOrd="0" presId="urn:microsoft.com/office/officeart/2005/8/layout/hProcess4"/>
    <dgm:cxn modelId="{50366EA3-8B34-48A4-812E-E28164C14AA5}" type="presParOf" srcId="{538E7B6B-5BEB-42C3-AE1F-7BF34C71B145}" destId="{E027E763-2D2D-47A4-A199-B96EEFF48822}" srcOrd="1" destOrd="0" presId="urn:microsoft.com/office/officeart/2005/8/layout/hProcess4"/>
    <dgm:cxn modelId="{E33E1F6D-3C01-4192-8E1C-7618C158F370}" type="presParOf" srcId="{538E7B6B-5BEB-42C3-AE1F-7BF34C71B145}" destId="{601803E7-B35D-44EF-B403-3C50E5C451C1}" srcOrd="2" destOrd="0" presId="urn:microsoft.com/office/officeart/2005/8/layout/hProcess4"/>
    <dgm:cxn modelId="{DB27D0E4-E1C5-4299-841E-E1A341776AFD}" type="presParOf" srcId="{538E7B6B-5BEB-42C3-AE1F-7BF34C71B145}" destId="{14531AB3-DB4E-4B18-99CF-C2E0EE5FDB15}" srcOrd="3" destOrd="0" presId="urn:microsoft.com/office/officeart/2005/8/layout/hProcess4"/>
    <dgm:cxn modelId="{10A48A34-951F-4995-8005-C4C9A227D7D2}" type="presParOf" srcId="{538E7B6B-5BEB-42C3-AE1F-7BF34C71B145}" destId="{10276F25-23B4-4A45-A5F9-6F0E6DA6D5F1}" srcOrd="4" destOrd="0" presId="urn:microsoft.com/office/officeart/2005/8/layout/hProcess4"/>
    <dgm:cxn modelId="{EED5D1BF-E952-490F-B843-AA3EA8A34F58}" type="presParOf" srcId="{EA7AED43-EF34-420B-998B-61E72FEBE1AA}" destId="{C23A4DD3-84B9-4BCC-AF7C-01D30CA37475}" srcOrd="1" destOrd="0" presId="urn:microsoft.com/office/officeart/2005/8/layout/hProcess4"/>
    <dgm:cxn modelId="{446CC248-A6D3-42ED-8D60-C10F320A06A8}" type="presParOf" srcId="{EA7AED43-EF34-420B-998B-61E72FEBE1AA}" destId="{BF77AAA2-A31D-4A0C-8185-3DEAF43EFA35}" srcOrd="2" destOrd="0" presId="urn:microsoft.com/office/officeart/2005/8/layout/hProcess4"/>
    <dgm:cxn modelId="{42693278-2B6F-4387-A3F0-7EA29EF80727}" type="presParOf" srcId="{BF77AAA2-A31D-4A0C-8185-3DEAF43EFA35}" destId="{BA6D3E19-7E95-476F-A083-0DDED0919C7A}" srcOrd="0" destOrd="0" presId="urn:microsoft.com/office/officeart/2005/8/layout/hProcess4"/>
    <dgm:cxn modelId="{0F19BC53-C522-4BD1-A9E2-3A7DD2D66B41}" type="presParOf" srcId="{BF77AAA2-A31D-4A0C-8185-3DEAF43EFA35}" destId="{F58BA88F-CDCB-4281-9BAD-8EC312CAA5E2}" srcOrd="1" destOrd="0" presId="urn:microsoft.com/office/officeart/2005/8/layout/hProcess4"/>
    <dgm:cxn modelId="{271FB558-834B-49AC-9D54-735F86E3B395}" type="presParOf" srcId="{BF77AAA2-A31D-4A0C-8185-3DEAF43EFA35}" destId="{28394218-E7A9-40DA-A243-887EAB01ED22}" srcOrd="2" destOrd="0" presId="urn:microsoft.com/office/officeart/2005/8/layout/hProcess4"/>
    <dgm:cxn modelId="{CE5B178B-3238-4D0F-9EC1-915A189AC44A}" type="presParOf" srcId="{BF77AAA2-A31D-4A0C-8185-3DEAF43EFA35}" destId="{FEAFD7FE-0AF2-4EFB-B455-F3E2668CE2ED}" srcOrd="3" destOrd="0" presId="urn:microsoft.com/office/officeart/2005/8/layout/hProcess4"/>
    <dgm:cxn modelId="{C608DB8B-C717-43D5-B1E4-F48FE6C4ECF0}" type="presParOf" srcId="{BF77AAA2-A31D-4A0C-8185-3DEAF43EFA35}" destId="{359CCB61-5849-42C3-887B-42947B1A6FF9}" srcOrd="4" destOrd="0" presId="urn:microsoft.com/office/officeart/2005/8/layout/hProcess4"/>
    <dgm:cxn modelId="{B9D620F9-A6FE-4C8A-8A23-AEA249CD21C0}" type="presParOf" srcId="{EA7AED43-EF34-420B-998B-61E72FEBE1AA}" destId="{00509651-018F-47C4-AE90-715C3DDE9CE1}" srcOrd="3" destOrd="0" presId="urn:microsoft.com/office/officeart/2005/8/layout/hProcess4"/>
    <dgm:cxn modelId="{D32D7383-24AB-4278-A4F1-E159532B4B08}" type="presParOf" srcId="{EA7AED43-EF34-420B-998B-61E72FEBE1AA}" destId="{1567931C-49E8-4E33-B6D6-E822177C2514}" srcOrd="4" destOrd="0" presId="urn:microsoft.com/office/officeart/2005/8/layout/hProcess4"/>
    <dgm:cxn modelId="{FAC27E83-DFC7-477F-BAFE-03078E1459C4}" type="presParOf" srcId="{1567931C-49E8-4E33-B6D6-E822177C2514}" destId="{F5519400-26E7-4074-A577-FBD13712E456}" srcOrd="0" destOrd="0" presId="urn:microsoft.com/office/officeart/2005/8/layout/hProcess4"/>
    <dgm:cxn modelId="{92A914E3-FDAF-4042-A8C6-EB534015B00C}" type="presParOf" srcId="{1567931C-49E8-4E33-B6D6-E822177C2514}" destId="{2B78BD63-57C3-45E8-AA2D-5493ECC7A853}" srcOrd="1" destOrd="0" presId="urn:microsoft.com/office/officeart/2005/8/layout/hProcess4"/>
    <dgm:cxn modelId="{6F304696-36E3-40C7-9AF6-161EE2AF48BE}" type="presParOf" srcId="{1567931C-49E8-4E33-B6D6-E822177C2514}" destId="{F602AC0E-A838-434C-B99F-BBA482E67340}" srcOrd="2" destOrd="0" presId="urn:microsoft.com/office/officeart/2005/8/layout/hProcess4"/>
    <dgm:cxn modelId="{2E5743AB-DDF2-4944-8AB4-8466C4E0662A}" type="presParOf" srcId="{1567931C-49E8-4E33-B6D6-E822177C2514}" destId="{8E4358BB-F521-49FC-8ED0-5665A1774CC4}" srcOrd="3" destOrd="0" presId="urn:microsoft.com/office/officeart/2005/8/layout/hProcess4"/>
    <dgm:cxn modelId="{79FCECDE-9A2D-4F6B-A5D3-2D93A4BCE319}" type="presParOf" srcId="{1567931C-49E8-4E33-B6D6-E822177C2514}" destId="{9E7D0A15-37BA-43FE-97D1-AF42109CE556}" srcOrd="4" destOrd="0" presId="urn:microsoft.com/office/officeart/2005/8/layout/hProcess4"/>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组合 1"/>
      <dsp:cNvGrpSpPr/>
    </dsp:nvGrpSpPr>
    <dsp:grpSpPr>
      <a:xfrm>
        <a:off x="0" y="0"/>
        <a:ext cx="5253355" cy="3495675"/>
        <a:chOff x="0" y="0"/>
        <a:chExt cx="5253355" cy="3495675"/>
      </a:xfrm>
    </dsp:grpSpPr>
    <dsp:sp modelId="{E027E763-2D2D-47A4-A199-B96EEFF48822}">
      <dsp:nvSpPr>
        <dsp:cNvPr id="4" name="圆角矩形 3"/>
        <dsp:cNvSpPr/>
      </dsp:nvSpPr>
      <dsp:spPr bwMode="white">
        <a:xfrm>
          <a:off x="0" y="1152434"/>
          <a:ext cx="1443768" cy="1190807"/>
        </a:xfrm>
        <a:prstGeom prst="roundRect">
          <a:avLst>
            <a:gd name="adj" fmla="val 10000"/>
          </a:avLst>
        </a:prstGeom>
      </dsp:spPr>
      <dsp:style>
        <a:lnRef idx="2">
          <a:schemeClr val="accent5">
            <a:hueOff val="0"/>
            <a:satOff val="0"/>
            <a:lumOff val="0"/>
            <a:alpha val="100000"/>
          </a:schemeClr>
        </a:lnRef>
        <a:fillRef idx="1">
          <a:schemeClr val="lt1">
            <a:alpha val="90000"/>
          </a:schemeClr>
        </a:fillRef>
        <a:effectRef idx="0">
          <a:scrgbClr r="0" g="0" b="0"/>
        </a:effectRef>
        <a:fontRef idx="minor"/>
      </dsp:style>
      <dsp:txBody>
        <a:bodyPr lIns="15240" tIns="15240" rIns="15240" bIns="15240" anchor="t"/>
        <a:lstStyle>
          <a:lvl1pPr algn="l">
            <a:defRPr sz="8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1" algn="l">
            <a:lnSpc>
              <a:spcPct val="100000"/>
            </a:lnSpc>
            <a:spcBef>
              <a:spcPct val="0"/>
            </a:spcBef>
            <a:spcAft>
              <a:spcPct val="15000"/>
            </a:spcAft>
            <a:buChar char="•"/>
          </a:pPr>
          <a:r>
            <a:rPr lang="zh-CN" altLang="en-US">
              <a:solidFill>
                <a:schemeClr val="dk1"/>
              </a:solidFill>
            </a:rPr>
            <a:t>编码体系和库体系建立</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产品主数据</a:t>
          </a:r>
          <a:r>
            <a:rPr lang="en-US" altLang="zh-CN">
              <a:solidFill>
                <a:schemeClr val="dk1"/>
              </a:solidFill>
            </a:rPr>
            <a:t>BOM</a:t>
          </a:r>
          <a:r>
            <a:rPr lang="zh-CN" altLang="en-US">
              <a:solidFill>
                <a:schemeClr val="dk1"/>
              </a:solidFill>
            </a:rPr>
            <a:t>管理</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图文档版本、变更管理</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项目协同平台</a:t>
          </a:r>
          <a:endParaRPr lang="zh-CN" altLang="en-US">
            <a:solidFill>
              <a:schemeClr val="dk1"/>
            </a:solidFill>
          </a:endParaRPr>
        </a:p>
        <a:p>
          <a:pPr lvl="1" algn="l">
            <a:lnSpc>
              <a:spcPct val="100000"/>
            </a:lnSpc>
            <a:spcBef>
              <a:spcPct val="0"/>
            </a:spcBef>
            <a:spcAft>
              <a:spcPct val="15000"/>
            </a:spcAft>
            <a:buChar char="•"/>
          </a:pPr>
          <a:r>
            <a:rPr lang="en-US" altLang="zh-CN">
              <a:solidFill>
                <a:schemeClr val="dk1"/>
              </a:solidFill>
            </a:rPr>
            <a:t>ERP</a:t>
          </a:r>
          <a:r>
            <a:rPr lang="zh-CN" altLang="en-US">
              <a:solidFill>
                <a:schemeClr val="dk1"/>
              </a:solidFill>
            </a:rPr>
            <a:t>集成</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工艺管理</a:t>
          </a:r>
          <a:endParaRPr>
            <a:solidFill>
              <a:schemeClr val="dk1"/>
            </a:solidFill>
          </a:endParaRPr>
        </a:p>
      </dsp:txBody>
      <dsp:txXfrm>
        <a:off x="0" y="1152434"/>
        <a:ext cx="1443768" cy="1190807"/>
      </dsp:txXfrm>
    </dsp:sp>
    <dsp:sp modelId="{C23A4DD3-84B9-4BCC-AF7C-01D30CA37475}">
      <dsp:nvSpPr>
        <dsp:cNvPr id="6" name="形状 5"/>
        <dsp:cNvSpPr/>
      </dsp:nvSpPr>
      <dsp:spPr bwMode="white">
        <a:xfrm>
          <a:off x="803862" y="1472772"/>
          <a:ext cx="1593840" cy="1593840"/>
        </a:xfrm>
        <a:prstGeom prst="leftCircularArrow">
          <a:avLst>
            <a:gd name="adj1" fmla="val 5000"/>
            <a:gd name="adj2" fmla="val -360000"/>
            <a:gd name="adj3" fmla="val 2276062"/>
            <a:gd name="adj4" fmla="val 9165040"/>
            <a:gd name="adj5" fmla="val 5500"/>
          </a:avLst>
        </a:prstGeom>
      </dsp:spPr>
      <dsp:style>
        <a:lnRef idx="0">
          <a:schemeClr val="lt1"/>
        </a:lnRef>
        <a:fillRef idx="1">
          <a:schemeClr val="accent5">
            <a:hueOff val="0"/>
            <a:satOff val="0"/>
            <a:lumOff val="0"/>
            <a:alpha val="100000"/>
          </a:schemeClr>
        </a:fillRef>
        <a:effectRef idx="0">
          <a:scrgbClr r="0" g="0" b="0"/>
        </a:effectRef>
        <a:fontRef idx="minor">
          <a:schemeClr val="lt1"/>
        </a:fontRef>
      </dsp:style>
      <dsp:txXfrm>
        <a:off x="803862" y="1472772"/>
        <a:ext cx="1593840" cy="1593840"/>
      </dsp:txXfrm>
    </dsp:sp>
    <dsp:sp modelId="{14531AB3-DB4E-4B18-99CF-C2E0EE5FDB15}">
      <dsp:nvSpPr>
        <dsp:cNvPr id="5" name="圆角矩形 4"/>
        <dsp:cNvSpPr/>
      </dsp:nvSpPr>
      <dsp:spPr bwMode="white">
        <a:xfrm>
          <a:off x="320837" y="2088068"/>
          <a:ext cx="1283349" cy="510346"/>
        </a:xfrm>
        <a:prstGeom prst="roundRect">
          <a:avLst>
            <a:gd name="adj" fmla="val 10000"/>
          </a:avLst>
        </a:prstGeom>
      </dsp:spPr>
      <dsp:style>
        <a:lnRef idx="2">
          <a:schemeClr val="lt1"/>
        </a:lnRef>
        <a:fillRef idx="1">
          <a:schemeClr val="accent5">
            <a:hueOff val="0"/>
            <a:satOff val="0"/>
            <a:lumOff val="0"/>
            <a:alpha val="100000"/>
          </a:schemeClr>
        </a:fillRef>
        <a:effectRef idx="0">
          <a:scrgbClr r="0" g="0" b="0"/>
        </a:effectRef>
        <a:fontRef idx="minor">
          <a:schemeClr val="lt1"/>
        </a:fontRef>
      </dsp:style>
      <dsp:txBody>
        <a:bodyPr lIns="15240" tIns="10160" rIns="15240" bIns="10160" anchor="ctr"/>
        <a:lstStyle>
          <a:lvl1pPr algn="ctr">
            <a:defRPr sz="800"/>
          </a:lvl1pPr>
          <a:lvl2pPr marL="57150" indent="-57150" algn="ctr">
            <a:defRPr sz="600"/>
          </a:lvl2pPr>
          <a:lvl3pPr marL="114300" indent="-57150" algn="ctr">
            <a:defRPr sz="600"/>
          </a:lvl3pPr>
          <a:lvl4pPr marL="171450" indent="-57150" algn="ctr">
            <a:defRPr sz="600"/>
          </a:lvl4pPr>
          <a:lvl5pPr marL="228600" indent="-57150" algn="ctr">
            <a:defRPr sz="600"/>
          </a:lvl5pPr>
          <a:lvl6pPr marL="285750" indent="-57150" algn="ctr">
            <a:defRPr sz="600"/>
          </a:lvl6pPr>
          <a:lvl7pPr marL="342900" indent="-57150" algn="ctr">
            <a:defRPr sz="600"/>
          </a:lvl7pPr>
          <a:lvl8pPr marL="400050" indent="-57150" algn="ctr">
            <a:defRPr sz="600"/>
          </a:lvl8pPr>
          <a:lvl9pPr marL="457200" indent="-57150" algn="ctr">
            <a:defRPr sz="600"/>
          </a:lvl9pPr>
        </a:lstStyle>
        <a:p>
          <a:pPr lvl="0" algn="l">
            <a:lnSpc>
              <a:spcPct val="100000"/>
            </a:lnSpc>
            <a:spcBef>
              <a:spcPct val="0"/>
            </a:spcBef>
            <a:spcAft>
              <a:spcPct val="35000"/>
            </a:spcAft>
          </a:pPr>
          <a:r>
            <a:rPr lang="zh-CN" altLang="en-US"/>
            <a:t>第一期</a:t>
          </a:r>
          <a:endParaRPr lang="en-US" altLang="zh-CN"/>
        </a:p>
        <a:p>
          <a:pPr lvl="0" algn="l">
            <a:lnSpc>
              <a:spcPct val="100000"/>
            </a:lnSpc>
            <a:spcBef>
              <a:spcPct val="0"/>
            </a:spcBef>
            <a:spcAft>
              <a:spcPct val="35000"/>
            </a:spcAft>
          </a:pPr>
          <a:r>
            <a:rPr lang="zh-CN" altLang="en-US"/>
            <a:t>项目管理和研发数据管理</a:t>
          </a:r>
        </a:p>
      </dsp:txBody>
      <dsp:txXfrm>
        <a:off x="320837" y="2088068"/>
        <a:ext cx="1283349" cy="510346"/>
      </dsp:txXfrm>
    </dsp:sp>
    <dsp:sp modelId="{F58BA88F-CDCB-4281-9BAD-8EC312CAA5E2}">
      <dsp:nvSpPr>
        <dsp:cNvPr id="8" name="圆角矩形 7"/>
        <dsp:cNvSpPr/>
      </dsp:nvSpPr>
      <dsp:spPr bwMode="white">
        <a:xfrm>
          <a:off x="1776459" y="1116710"/>
          <a:ext cx="1530394" cy="1262255"/>
        </a:xfrm>
        <a:prstGeom prst="roundRect">
          <a:avLst>
            <a:gd name="adj" fmla="val 10000"/>
          </a:avLst>
        </a:prstGeom>
      </dsp:spPr>
      <dsp:style>
        <a:lnRef idx="2">
          <a:schemeClr val="accent5">
            <a:hueOff val="5310000"/>
            <a:satOff val="7451"/>
            <a:lumOff val="6471"/>
            <a:alpha val="100000"/>
          </a:schemeClr>
        </a:lnRef>
        <a:fillRef idx="1">
          <a:schemeClr val="lt1">
            <a:alpha val="90000"/>
          </a:schemeClr>
        </a:fillRef>
        <a:effectRef idx="0">
          <a:scrgbClr r="0" g="0" b="0"/>
        </a:effectRef>
        <a:fontRef idx="minor"/>
      </dsp:style>
      <dsp:txBody>
        <a:bodyPr lIns="15240" tIns="15240" rIns="15240" bIns="15240" anchor="t"/>
        <a:lstStyle>
          <a:lvl1pPr algn="l">
            <a:defRPr sz="8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1" algn="l">
            <a:lnSpc>
              <a:spcPct val="100000"/>
            </a:lnSpc>
            <a:spcBef>
              <a:spcPct val="0"/>
            </a:spcBef>
            <a:spcAft>
              <a:spcPct val="15000"/>
            </a:spcAft>
            <a:buChar char="•"/>
          </a:pPr>
          <a:r>
            <a:rPr lang="zh-CN" altLang="en-US">
              <a:solidFill>
                <a:schemeClr val="dk1"/>
              </a:solidFill>
            </a:rPr>
            <a:t>机电一体化</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设计验证一体化</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工艺仿真</a:t>
          </a:r>
          <a:endParaRPr>
            <a:solidFill>
              <a:schemeClr val="dk1"/>
            </a:solidFill>
          </a:endParaRPr>
        </a:p>
      </dsp:txBody>
      <dsp:txXfrm>
        <a:off x="1776459" y="1116710"/>
        <a:ext cx="1530394" cy="1262255"/>
      </dsp:txXfrm>
    </dsp:sp>
    <dsp:sp modelId="{00509651-018F-47C4-AE90-715C3DDE9CE1}">
      <dsp:nvSpPr>
        <dsp:cNvPr id="10" name="环形箭头 9"/>
        <dsp:cNvSpPr/>
      </dsp:nvSpPr>
      <dsp:spPr bwMode="white">
        <a:xfrm>
          <a:off x="2585064" y="367362"/>
          <a:ext cx="1816267" cy="1816267"/>
        </a:xfrm>
        <a:prstGeom prst="circularArrow">
          <a:avLst>
            <a:gd name="adj1" fmla="val 5000"/>
            <a:gd name="adj2" fmla="val 360000"/>
            <a:gd name="adj3" fmla="val 19587820"/>
            <a:gd name="adj4" fmla="val 12698841"/>
            <a:gd name="adj5" fmla="val 5500"/>
          </a:avLst>
        </a:prstGeom>
      </dsp:spPr>
      <dsp:style>
        <a:lnRef idx="0">
          <a:schemeClr val="lt1"/>
        </a:lnRef>
        <a:fillRef idx="1">
          <a:schemeClr val="accent5">
            <a:hueOff val="10620000"/>
            <a:satOff val="14902"/>
            <a:lumOff val="12941"/>
            <a:alpha val="100000"/>
          </a:schemeClr>
        </a:fillRef>
        <a:effectRef idx="0">
          <a:scrgbClr r="0" g="0" b="0"/>
        </a:effectRef>
        <a:fontRef idx="minor">
          <a:schemeClr val="lt1"/>
        </a:fontRef>
      </dsp:style>
      <dsp:txXfrm>
        <a:off x="2585064" y="367362"/>
        <a:ext cx="1816267" cy="1816267"/>
      </dsp:txXfrm>
    </dsp:sp>
    <dsp:sp modelId="{FEAFD7FE-0AF2-4EFB-B455-F3E2668CE2ED}">
      <dsp:nvSpPr>
        <dsp:cNvPr id="9" name="圆角矩形 8"/>
        <dsp:cNvSpPr/>
      </dsp:nvSpPr>
      <dsp:spPr bwMode="white">
        <a:xfrm>
          <a:off x="2116546" y="846227"/>
          <a:ext cx="1360350" cy="540966"/>
        </a:xfrm>
        <a:prstGeom prst="roundRect">
          <a:avLst>
            <a:gd name="adj" fmla="val 10000"/>
          </a:avLst>
        </a:prstGeom>
      </dsp:spPr>
      <dsp:style>
        <a:lnRef idx="2">
          <a:schemeClr val="lt1"/>
        </a:lnRef>
        <a:fillRef idx="1">
          <a:schemeClr val="accent5">
            <a:hueOff val="5310000"/>
            <a:satOff val="7451"/>
            <a:lumOff val="6471"/>
            <a:alpha val="100000"/>
          </a:schemeClr>
        </a:fillRef>
        <a:effectRef idx="0">
          <a:scrgbClr r="0" g="0" b="0"/>
        </a:effectRef>
        <a:fontRef idx="minor">
          <a:schemeClr val="lt1"/>
        </a:fontRef>
      </dsp:style>
      <dsp:txBody>
        <a:bodyPr lIns="15240" tIns="10160" rIns="15240" bIns="10160" anchor="ctr"/>
        <a:lstStyle>
          <a:lvl1pPr algn="ctr">
            <a:defRPr sz="800"/>
          </a:lvl1pPr>
          <a:lvl2pPr marL="57150" indent="-57150" algn="ctr">
            <a:defRPr sz="600"/>
          </a:lvl2pPr>
          <a:lvl3pPr marL="114300" indent="-57150" algn="ctr">
            <a:defRPr sz="600"/>
          </a:lvl3pPr>
          <a:lvl4pPr marL="171450" indent="-57150" algn="ctr">
            <a:defRPr sz="600"/>
          </a:lvl4pPr>
          <a:lvl5pPr marL="228600" indent="-57150" algn="ctr">
            <a:defRPr sz="600"/>
          </a:lvl5pPr>
          <a:lvl6pPr marL="285750" indent="-57150" algn="ctr">
            <a:defRPr sz="600"/>
          </a:lvl6pPr>
          <a:lvl7pPr marL="342900" indent="-57150" algn="ctr">
            <a:defRPr sz="600"/>
          </a:lvl7pPr>
          <a:lvl8pPr marL="400050" indent="-57150" algn="ctr">
            <a:defRPr sz="600"/>
          </a:lvl8pPr>
          <a:lvl9pPr marL="457200" indent="-57150" algn="ctr">
            <a:defRPr sz="600"/>
          </a:lvl9pPr>
        </a:lstStyle>
        <a:p>
          <a:pPr lvl="0" algn="l">
            <a:lnSpc>
              <a:spcPct val="100000"/>
            </a:lnSpc>
            <a:spcBef>
              <a:spcPct val="0"/>
            </a:spcBef>
            <a:spcAft>
              <a:spcPct val="35000"/>
            </a:spcAft>
          </a:pPr>
          <a:r>
            <a:rPr lang="zh-CN" altLang="en-US"/>
            <a:t>第三期</a:t>
          </a:r>
          <a:endParaRPr lang="en-US" altLang="zh-CN"/>
        </a:p>
        <a:p>
          <a:pPr lvl="0" algn="l">
            <a:lnSpc>
              <a:spcPct val="100000"/>
            </a:lnSpc>
            <a:spcBef>
              <a:spcPct val="0"/>
            </a:spcBef>
            <a:spcAft>
              <a:spcPct val="35000"/>
            </a:spcAft>
          </a:pPr>
          <a:r>
            <a:rPr lang="zh-CN" altLang="en-US"/>
            <a:t>仿真管理平台</a:t>
          </a:r>
        </a:p>
      </dsp:txBody>
      <dsp:txXfrm>
        <a:off x="2116546" y="846227"/>
        <a:ext cx="1360350" cy="540966"/>
      </dsp:txXfrm>
    </dsp:sp>
    <dsp:sp modelId="{2B78BD63-57C3-45E8-AA2D-5493ECC7A853}">
      <dsp:nvSpPr>
        <dsp:cNvPr id="12" name="圆角矩形 11"/>
        <dsp:cNvSpPr/>
      </dsp:nvSpPr>
      <dsp:spPr bwMode="white">
        <a:xfrm>
          <a:off x="3649168" y="1152434"/>
          <a:ext cx="1443768" cy="1190807"/>
        </a:xfrm>
        <a:prstGeom prst="roundRect">
          <a:avLst>
            <a:gd name="adj" fmla="val 10000"/>
          </a:avLst>
        </a:prstGeom>
      </dsp:spPr>
      <dsp:style>
        <a:lnRef idx="2">
          <a:schemeClr val="accent5">
            <a:hueOff val="10620000"/>
            <a:satOff val="14902"/>
            <a:lumOff val="12941"/>
            <a:alpha val="100000"/>
          </a:schemeClr>
        </a:lnRef>
        <a:fillRef idx="1">
          <a:schemeClr val="lt1">
            <a:alpha val="90000"/>
          </a:schemeClr>
        </a:fillRef>
        <a:effectRef idx="0">
          <a:scrgbClr r="0" g="0" b="0"/>
        </a:effectRef>
        <a:fontRef idx="minor"/>
      </dsp:style>
      <dsp:txBody>
        <a:bodyPr lIns="15240" tIns="15240" rIns="15240" bIns="15240" anchor="t"/>
        <a:lstStyle>
          <a:lvl1pPr algn="l">
            <a:defRPr sz="800"/>
          </a:lvl1pPr>
          <a:lvl2pPr marL="57150" indent="-57150" algn="l">
            <a:defRPr sz="800"/>
          </a:lvl2pPr>
          <a:lvl3pPr marL="114300" indent="-57150" algn="l">
            <a:defRPr sz="800"/>
          </a:lvl3pPr>
          <a:lvl4pPr marL="171450" indent="-57150" algn="l">
            <a:defRPr sz="800"/>
          </a:lvl4pPr>
          <a:lvl5pPr marL="228600" indent="-57150" algn="l">
            <a:defRPr sz="800"/>
          </a:lvl5pPr>
          <a:lvl6pPr marL="285750" indent="-57150" algn="l">
            <a:defRPr sz="800"/>
          </a:lvl6pPr>
          <a:lvl7pPr marL="342900" indent="-57150" algn="l">
            <a:defRPr sz="800"/>
          </a:lvl7pPr>
          <a:lvl8pPr marL="400050" indent="-57150" algn="l">
            <a:defRPr sz="800"/>
          </a:lvl8pPr>
          <a:lvl9pPr marL="457200" indent="-57150" algn="l">
            <a:defRPr sz="800"/>
          </a:lvl9pPr>
        </a:lstStyle>
        <a:p>
          <a:pPr lvl="1" algn="l">
            <a:lnSpc>
              <a:spcPct val="100000"/>
            </a:lnSpc>
            <a:spcBef>
              <a:spcPct val="0"/>
            </a:spcBef>
            <a:spcAft>
              <a:spcPct val="15000"/>
            </a:spcAft>
            <a:buChar char="•"/>
          </a:pPr>
          <a:r>
            <a:rPr lang="en-US" altLang="zh-CN">
              <a:solidFill>
                <a:schemeClr val="dk1"/>
              </a:solidFill>
            </a:rPr>
            <a:t>KBE</a:t>
          </a:r>
          <a:r>
            <a:rPr lang="zh-CN" altLang="en-US">
              <a:solidFill>
                <a:schemeClr val="dk1"/>
              </a:solidFill>
            </a:rPr>
            <a:t>平台</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智慧设计平台</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跨体系平台</a:t>
          </a:r>
          <a:endParaRPr lang="zh-CN" altLang="en-US">
            <a:solidFill>
              <a:schemeClr val="dk1"/>
            </a:solidFill>
          </a:endParaRPr>
        </a:p>
        <a:p>
          <a:pPr lvl="1" algn="l">
            <a:lnSpc>
              <a:spcPct val="100000"/>
            </a:lnSpc>
            <a:spcBef>
              <a:spcPct val="0"/>
            </a:spcBef>
            <a:spcAft>
              <a:spcPct val="15000"/>
            </a:spcAft>
            <a:buChar char="•"/>
          </a:pPr>
          <a:r>
            <a:rPr lang="zh-CN" altLang="en-US">
              <a:solidFill>
                <a:schemeClr val="dk1"/>
              </a:solidFill>
            </a:rPr>
            <a:t>质量分析大数据平台</a:t>
          </a:r>
          <a:endParaRPr>
            <a:solidFill>
              <a:schemeClr val="dk1"/>
            </a:solidFill>
          </a:endParaRPr>
        </a:p>
      </dsp:txBody>
      <dsp:txXfrm>
        <a:off x="3649168" y="1152434"/>
        <a:ext cx="1443768" cy="1190807"/>
      </dsp:txXfrm>
    </dsp:sp>
    <dsp:sp modelId="{8E4358BB-F521-49FC-8ED0-5665A1774CC4}">
      <dsp:nvSpPr>
        <dsp:cNvPr id="13" name="圆角矩形 12"/>
        <dsp:cNvSpPr/>
      </dsp:nvSpPr>
      <dsp:spPr bwMode="white">
        <a:xfrm>
          <a:off x="3970006" y="2088068"/>
          <a:ext cx="1283349" cy="510346"/>
        </a:xfrm>
        <a:prstGeom prst="roundRect">
          <a:avLst>
            <a:gd name="adj" fmla="val 10000"/>
          </a:avLst>
        </a:prstGeom>
      </dsp:spPr>
      <dsp:style>
        <a:lnRef idx="2">
          <a:schemeClr val="lt1"/>
        </a:lnRef>
        <a:fillRef idx="1">
          <a:schemeClr val="accent5">
            <a:hueOff val="10620000"/>
            <a:satOff val="14902"/>
            <a:lumOff val="12941"/>
            <a:alpha val="100000"/>
          </a:schemeClr>
        </a:fillRef>
        <a:effectRef idx="0">
          <a:scrgbClr r="0" g="0" b="0"/>
        </a:effectRef>
        <a:fontRef idx="minor">
          <a:schemeClr val="lt1"/>
        </a:fontRef>
      </dsp:style>
      <dsp:txBody>
        <a:bodyPr lIns="15240" tIns="10160" rIns="15240" bIns="10160" anchor="ctr"/>
        <a:lstStyle>
          <a:lvl1pPr algn="ctr">
            <a:defRPr sz="800"/>
          </a:lvl1pPr>
          <a:lvl2pPr marL="57150" indent="-57150" algn="ctr">
            <a:defRPr sz="600"/>
          </a:lvl2pPr>
          <a:lvl3pPr marL="114300" indent="-57150" algn="ctr">
            <a:defRPr sz="600"/>
          </a:lvl3pPr>
          <a:lvl4pPr marL="171450" indent="-57150" algn="ctr">
            <a:defRPr sz="600"/>
          </a:lvl4pPr>
          <a:lvl5pPr marL="228600" indent="-57150" algn="ctr">
            <a:defRPr sz="600"/>
          </a:lvl5pPr>
          <a:lvl6pPr marL="285750" indent="-57150" algn="ctr">
            <a:defRPr sz="600"/>
          </a:lvl6pPr>
          <a:lvl7pPr marL="342900" indent="-57150" algn="ctr">
            <a:defRPr sz="600"/>
          </a:lvl7pPr>
          <a:lvl8pPr marL="400050" indent="-57150" algn="ctr">
            <a:defRPr sz="600"/>
          </a:lvl8pPr>
          <a:lvl9pPr marL="457200" indent="-57150" algn="ctr">
            <a:defRPr sz="600"/>
          </a:lvl9pPr>
        </a:lstStyle>
        <a:p>
          <a:pPr lvl="0" algn="l">
            <a:lnSpc>
              <a:spcPct val="100000"/>
            </a:lnSpc>
            <a:spcBef>
              <a:spcPct val="0"/>
            </a:spcBef>
            <a:spcAft>
              <a:spcPct val="35000"/>
            </a:spcAft>
          </a:pPr>
          <a:r>
            <a:rPr lang="zh-CN" altLang="en-US"/>
            <a:t>第三期</a:t>
          </a:r>
          <a:endParaRPr lang="en-US" altLang="zh-CN"/>
        </a:p>
        <a:p>
          <a:pPr lvl="0" algn="l">
            <a:lnSpc>
              <a:spcPct val="100000"/>
            </a:lnSpc>
            <a:spcBef>
              <a:spcPct val="0"/>
            </a:spcBef>
            <a:spcAft>
              <a:spcPct val="35000"/>
            </a:spcAft>
          </a:pPr>
          <a:r>
            <a:rPr lang="zh-CN" altLang="en-US"/>
            <a:t>数智化平台</a:t>
          </a:r>
        </a:p>
      </dsp:txBody>
      <dsp:txXfrm>
        <a:off x="3970006" y="2088068"/>
        <a:ext cx="1283349" cy="510346"/>
      </dsp:txXfrm>
    </dsp:sp>
    <dsp:sp modelId="{773CC56B-241C-490C-96FA-D197432038C6}">
      <dsp:nvSpPr>
        <dsp:cNvPr id="3" name="矩形 2" hidden="1"/>
        <dsp:cNvSpPr/>
      </dsp:nvSpPr>
      <dsp:spPr>
        <a:xfrm>
          <a:off x="0" y="897261"/>
          <a:ext cx="1604187" cy="1701152"/>
        </a:xfrm>
        <a:prstGeom prst="rect">
          <a:avLst/>
        </a:prstGeom>
      </dsp:spPr>
      <dsp:txXfrm>
        <a:off x="0" y="897261"/>
        <a:ext cx="1604187" cy="1701152"/>
      </dsp:txXfrm>
    </dsp:sp>
    <dsp:sp modelId="{BA6D3E19-7E95-476F-A083-0DDED0919C7A}">
      <dsp:nvSpPr>
        <dsp:cNvPr id="7" name="矩形 6" hidden="1"/>
        <dsp:cNvSpPr/>
      </dsp:nvSpPr>
      <dsp:spPr>
        <a:xfrm>
          <a:off x="1776459" y="846227"/>
          <a:ext cx="1700438" cy="1803221"/>
        </a:xfrm>
        <a:prstGeom prst="rect">
          <a:avLst/>
        </a:prstGeom>
      </dsp:spPr>
      <dsp:txXfrm>
        <a:off x="1776459" y="846227"/>
        <a:ext cx="1700438" cy="1803221"/>
      </dsp:txXfrm>
    </dsp:sp>
    <dsp:sp modelId="{F5519400-26E7-4074-A577-FBD13712E456}">
      <dsp:nvSpPr>
        <dsp:cNvPr id="11" name="矩形 10" hidden="1"/>
        <dsp:cNvSpPr/>
      </dsp:nvSpPr>
      <dsp:spPr>
        <a:xfrm>
          <a:off x="3649168" y="897261"/>
          <a:ext cx="1604187" cy="1701152"/>
        </a:xfrm>
        <a:prstGeom prst="rect">
          <a:avLst/>
        </a:prstGeom>
      </dsp:spPr>
      <dsp:txXfrm>
        <a:off x="3649168" y="897261"/>
        <a:ext cx="1604187" cy="170115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srcNode" val="parentNode1"/>
              <dgm:param type="dstNode" val="connSite2"/>
              <dgm:param type="connRout" val="curve"/>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srcNode" val="parentNode2"/>
                <dgm:param type="dstNode" val="connSite1"/>
                <dgm:param type="connRout" val="curve"/>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6756</Words>
  <Characters>7168</Characters>
  <Lines>0</Lines>
  <Paragraphs>0</Paragraphs>
  <TotalTime>2</TotalTime>
  <ScaleCrop>false</ScaleCrop>
  <LinksUpToDate>false</LinksUpToDate>
  <CharactersWithSpaces>7433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2026-04-08T06:04:00Z</dcterms:created>
  <dc:creator>李振刚</dc:creator>
  <cp:lastModifiedBy>陈军校</cp:lastModifiedBy>
  <dcterms:modified xsi:type="dcterms:W3CDTF">2026-04-15T05:41:52Z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9560C8C2191849FF9E92D411FCF444C6_11</vt:lpwstr>
  </property>
  <property fmtid="{D5CDD505-2E9C-101B-9397-08002B2CF9AE}" pid="4" name="KSOTemplateDocerSaveRecord">
    <vt:lpwstr>eyJoZGlkIjoiZTNiNWYzMWIyZjI1YWIxOWU4Y2FkNGVmN2JjNmMzZDYiLCJ1c2VySWQiOiI4MDMyNjY4MjUifQ==</vt:lpwstr>
  </property>
</Properties>
</file>